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0C09" w14:textId="7987AE7B" w:rsidR="00FB7FBA" w:rsidRDefault="00FB7FBA" w:rsidP="00AB570D">
      <w:pPr>
        <w:pStyle w:val="Heading1"/>
        <w:spacing w:before="0" w:after="160" w:line="257" w:lineRule="auto"/>
        <w:jc w:val="center"/>
      </w:pPr>
      <w:bookmarkStart w:id="0" w:name="_Toc47601881"/>
      <w:r>
        <w:t xml:space="preserve">Briefing Note: COVID-19 and </w:t>
      </w:r>
      <w:bookmarkEnd w:id="0"/>
      <w:r>
        <w:t>Employment in the Retail Trades</w:t>
      </w:r>
    </w:p>
    <w:p w14:paraId="0A329558" w14:textId="0F1CDD9E" w:rsidR="00155F20" w:rsidRDefault="00C25339" w:rsidP="4CDAB398">
      <w:pPr>
        <w:spacing w:after="120" w:line="257" w:lineRule="auto"/>
        <w:rPr>
          <w:sz w:val="22"/>
        </w:rPr>
      </w:pPr>
      <w:r w:rsidRPr="4B811D38">
        <w:rPr>
          <w:sz w:val="22"/>
        </w:rPr>
        <w:t xml:space="preserve">This briefing note is </w:t>
      </w:r>
      <w:r w:rsidR="5DB35F25" w:rsidRPr="4B811D38">
        <w:rPr>
          <w:sz w:val="22"/>
        </w:rPr>
        <w:t xml:space="preserve">part </w:t>
      </w:r>
      <w:r w:rsidRPr="4B811D38">
        <w:rPr>
          <w:sz w:val="22"/>
        </w:rPr>
        <w:t xml:space="preserve">of a series on COVID-19 and its impact on the retail trade sector. </w:t>
      </w:r>
      <w:r w:rsidR="00403C62" w:rsidRPr="4B811D38">
        <w:rPr>
          <w:sz w:val="22"/>
          <w:lang w:val="en-US"/>
        </w:rPr>
        <w:t>Other briefing notes in this series focus on retail trade employers, demographic details of retail trade employees, and the link between retail trade and the tourism sector.</w:t>
      </w:r>
      <w:r w:rsidR="00403C62" w:rsidRPr="4B811D38">
        <w:rPr>
          <w:sz w:val="16"/>
          <w:szCs w:val="16"/>
          <w:lang w:val="en-US"/>
        </w:rPr>
        <w:t xml:space="preserve"> </w:t>
      </w:r>
      <w:r w:rsidR="00155F20" w:rsidRPr="4B811D38">
        <w:rPr>
          <w:sz w:val="22"/>
        </w:rPr>
        <w:t xml:space="preserve">This note highlights the state of the </w:t>
      </w:r>
      <w:r w:rsidR="22764B14" w:rsidRPr="4B811D38">
        <w:rPr>
          <w:sz w:val="22"/>
        </w:rPr>
        <w:t xml:space="preserve">labour force within Niagara’s </w:t>
      </w:r>
      <w:r w:rsidR="00155F20" w:rsidRPr="4B811D38">
        <w:rPr>
          <w:sz w:val="22"/>
        </w:rPr>
        <w:t xml:space="preserve">retail trade sector </w:t>
      </w:r>
      <w:r w:rsidR="00155F20" w:rsidRPr="00C21106">
        <w:rPr>
          <w:iCs/>
          <w:sz w:val="22"/>
        </w:rPr>
        <w:t>prior</w:t>
      </w:r>
      <w:r w:rsidR="00155F20" w:rsidRPr="4B811D38">
        <w:rPr>
          <w:i/>
          <w:iCs/>
          <w:sz w:val="22"/>
        </w:rPr>
        <w:t xml:space="preserve"> </w:t>
      </w:r>
      <w:r w:rsidR="00155F20" w:rsidRPr="4B811D38">
        <w:rPr>
          <w:sz w:val="22"/>
        </w:rPr>
        <w:t>to</w:t>
      </w:r>
      <w:r w:rsidR="00CE579F" w:rsidRPr="4B811D38">
        <w:rPr>
          <w:sz w:val="22"/>
        </w:rPr>
        <w:t xml:space="preserve"> and during</w:t>
      </w:r>
      <w:r w:rsidR="00155F20" w:rsidRPr="4B811D38">
        <w:rPr>
          <w:sz w:val="22"/>
        </w:rPr>
        <w:t xml:space="preserve"> the </w:t>
      </w:r>
      <w:r w:rsidR="00FB7FBA" w:rsidRPr="4B811D38">
        <w:rPr>
          <w:sz w:val="22"/>
        </w:rPr>
        <w:t>COVID-19</w:t>
      </w:r>
      <w:r w:rsidR="00155F20" w:rsidRPr="4B811D38">
        <w:rPr>
          <w:sz w:val="22"/>
        </w:rPr>
        <w:t xml:space="preserve"> pandemic. </w:t>
      </w:r>
      <w:r w:rsidR="00060902" w:rsidRPr="4B811D38">
        <w:rPr>
          <w:sz w:val="22"/>
        </w:rPr>
        <w:t>To provide insights on the effects of the pandemic on this sector, we</w:t>
      </w:r>
      <w:r w:rsidR="00155F20" w:rsidRPr="4B811D38">
        <w:rPr>
          <w:sz w:val="22"/>
        </w:rPr>
        <w:t xml:space="preserve"> </w:t>
      </w:r>
      <w:r w:rsidR="0087054C">
        <w:rPr>
          <w:sz w:val="22"/>
        </w:rPr>
        <w:t>also</w:t>
      </w:r>
      <w:r w:rsidR="00155F20" w:rsidRPr="4B811D38">
        <w:rPr>
          <w:sz w:val="22"/>
        </w:rPr>
        <w:t xml:space="preserve"> </w:t>
      </w:r>
      <w:r w:rsidR="0087054C">
        <w:rPr>
          <w:sz w:val="22"/>
        </w:rPr>
        <w:t>provide</w:t>
      </w:r>
      <w:r w:rsidR="00155F20" w:rsidRPr="4B811D38">
        <w:rPr>
          <w:sz w:val="22"/>
        </w:rPr>
        <w:t xml:space="preserve"> data on employment and job </w:t>
      </w:r>
      <w:r w:rsidR="0087054C">
        <w:rPr>
          <w:sz w:val="22"/>
        </w:rPr>
        <w:t>demand</w:t>
      </w:r>
      <w:r w:rsidR="00155F20" w:rsidRPr="4B811D38">
        <w:rPr>
          <w:sz w:val="22"/>
        </w:rPr>
        <w:t xml:space="preserve"> </w:t>
      </w:r>
      <w:r w:rsidR="0087054C">
        <w:rPr>
          <w:sz w:val="22"/>
        </w:rPr>
        <w:t>in</w:t>
      </w:r>
      <w:r w:rsidR="00155F20" w:rsidRPr="4B811D38">
        <w:rPr>
          <w:sz w:val="22"/>
        </w:rPr>
        <w:t xml:space="preserve"> the retail trade sec</w:t>
      </w:r>
      <w:r w:rsidR="00FB7FBA" w:rsidRPr="4B811D38">
        <w:rPr>
          <w:sz w:val="22"/>
        </w:rPr>
        <w:t>tor for the first half of 2020</w:t>
      </w:r>
      <w:r w:rsidR="00155F20" w:rsidRPr="4B811D38">
        <w:rPr>
          <w:sz w:val="22"/>
        </w:rPr>
        <w:t>.</w:t>
      </w:r>
      <w:r w:rsidR="0087054C">
        <w:rPr>
          <w:sz w:val="22"/>
        </w:rPr>
        <w:t xml:space="preserve"> </w:t>
      </w:r>
      <w:r w:rsidR="003359C4">
        <w:rPr>
          <w:rStyle w:val="normaltextrun"/>
          <w:color w:val="000000"/>
          <w:sz w:val="22"/>
          <w:shd w:val="clear" w:color="auto" w:fill="FFFFFF"/>
        </w:rPr>
        <w:t>The data show that measureable job demand within the retail trade sector has declined during the COVID-19 pandemic.</w:t>
      </w:r>
      <w:r w:rsidR="003359C4">
        <w:rPr>
          <w:rStyle w:val="eop"/>
          <w:color w:val="000000"/>
          <w:sz w:val="22"/>
          <w:shd w:val="clear" w:color="auto" w:fill="FFFFFF"/>
        </w:rPr>
        <w:t> </w:t>
      </w:r>
    </w:p>
    <w:p w14:paraId="5197F4DC" w14:textId="77777777" w:rsidR="00155F20" w:rsidRPr="00E32053" w:rsidRDefault="00155F20" w:rsidP="00AB570D">
      <w:pPr>
        <w:pStyle w:val="Heading2"/>
        <w:spacing w:before="0" w:line="257" w:lineRule="auto"/>
      </w:pPr>
      <w:r>
        <w:t>2019 Retail Trade Jobs</w:t>
      </w:r>
      <w:r w:rsidRPr="00E32053">
        <w:t xml:space="preserve"> </w:t>
      </w:r>
    </w:p>
    <w:p w14:paraId="4D9975FC" w14:textId="495678A2" w:rsidR="00C06C25" w:rsidRPr="00E32053" w:rsidRDefault="00C06C25" w:rsidP="00AB570D">
      <w:pPr>
        <w:spacing w:after="120" w:line="257" w:lineRule="auto"/>
        <w:rPr>
          <w:sz w:val="22"/>
        </w:rPr>
      </w:pPr>
      <w:r w:rsidRPr="00E32053">
        <w:rPr>
          <w:sz w:val="22"/>
        </w:rPr>
        <w:t xml:space="preserve">Niagara </w:t>
      </w:r>
      <w:r w:rsidR="00AB570D">
        <w:rPr>
          <w:sz w:val="22"/>
        </w:rPr>
        <w:t xml:space="preserve">housed approximately </w:t>
      </w:r>
      <w:r>
        <w:rPr>
          <w:sz w:val="22"/>
        </w:rPr>
        <w:t>27,572</w:t>
      </w:r>
      <w:r w:rsidRPr="000E7700">
        <w:rPr>
          <w:sz w:val="22"/>
        </w:rPr>
        <w:t xml:space="preserve"> retail trade jobs </w:t>
      </w:r>
      <w:r w:rsidR="00EF25FF">
        <w:rPr>
          <w:sz w:val="22"/>
        </w:rPr>
        <w:t xml:space="preserve">(12.5% of </w:t>
      </w:r>
      <w:r w:rsidR="00EF25FF">
        <w:rPr>
          <w:i/>
          <w:sz w:val="22"/>
        </w:rPr>
        <w:t xml:space="preserve">all </w:t>
      </w:r>
      <w:r w:rsidR="00EF25FF">
        <w:rPr>
          <w:sz w:val="22"/>
        </w:rPr>
        <w:t xml:space="preserve">local jobs) </w:t>
      </w:r>
      <w:r w:rsidRPr="000E7700">
        <w:rPr>
          <w:sz w:val="22"/>
        </w:rPr>
        <w:t>in the 2019 calendar year</w:t>
      </w:r>
      <w:r w:rsidR="00EF25FF">
        <w:rPr>
          <w:sz w:val="22"/>
        </w:rPr>
        <w:t>; this</w:t>
      </w:r>
      <w:r w:rsidRPr="000E7700">
        <w:rPr>
          <w:sz w:val="22"/>
        </w:rPr>
        <w:t xml:space="preserve"> includ</w:t>
      </w:r>
      <w:r w:rsidR="00EF25FF">
        <w:rPr>
          <w:sz w:val="22"/>
        </w:rPr>
        <w:t>es</w:t>
      </w:r>
      <w:r w:rsidRPr="000E7700">
        <w:rPr>
          <w:sz w:val="22"/>
        </w:rPr>
        <w:t xml:space="preserve"> </w:t>
      </w:r>
      <w:r>
        <w:rPr>
          <w:sz w:val="22"/>
        </w:rPr>
        <w:t>full-</w:t>
      </w:r>
      <w:r w:rsidR="00EF25FF">
        <w:rPr>
          <w:sz w:val="22"/>
        </w:rPr>
        <w:t>time,</w:t>
      </w:r>
      <w:r w:rsidRPr="000E7700">
        <w:rPr>
          <w:sz w:val="22"/>
        </w:rPr>
        <w:t xml:space="preserve"> part-time</w:t>
      </w:r>
      <w:r w:rsidR="00EF25FF">
        <w:rPr>
          <w:sz w:val="22"/>
        </w:rPr>
        <w:t>,</w:t>
      </w:r>
      <w:r>
        <w:rPr>
          <w:sz w:val="22"/>
        </w:rPr>
        <w:t xml:space="preserve"> </w:t>
      </w:r>
      <w:r w:rsidR="00EF25FF">
        <w:rPr>
          <w:sz w:val="22"/>
        </w:rPr>
        <w:t>and</w:t>
      </w:r>
      <w:r>
        <w:rPr>
          <w:sz w:val="22"/>
        </w:rPr>
        <w:t xml:space="preserve"> self-employment</w:t>
      </w:r>
      <w:r w:rsidRPr="000E7700">
        <w:rPr>
          <w:sz w:val="22"/>
        </w:rPr>
        <w:t xml:space="preserve"> jobs. </w:t>
      </w:r>
      <w:r w:rsidR="008F546A">
        <w:rPr>
          <w:sz w:val="22"/>
        </w:rPr>
        <w:t xml:space="preserve">The most prominent retail trade subsector was </w:t>
      </w:r>
      <w:r w:rsidR="008F546A">
        <w:rPr>
          <w:i/>
          <w:sz w:val="22"/>
        </w:rPr>
        <w:t>food and beverage stores</w:t>
      </w:r>
      <w:r w:rsidR="008F546A">
        <w:rPr>
          <w:sz w:val="22"/>
        </w:rPr>
        <w:t>, which represented 27.4% of full- and part-time jobs within the retail trade sector.</w:t>
      </w:r>
      <w:r w:rsidR="00FB7FBA" w:rsidRPr="00E32053">
        <w:rPr>
          <w:sz w:val="22"/>
        </w:rPr>
        <w:t xml:space="preserve"> </w:t>
      </w:r>
      <w:r w:rsidR="00F84863">
        <w:rPr>
          <w:sz w:val="22"/>
        </w:rPr>
        <w:t>The</w:t>
      </w:r>
      <w:r>
        <w:rPr>
          <w:sz w:val="22"/>
        </w:rPr>
        <w:t xml:space="preserve"> top </w:t>
      </w:r>
      <w:r w:rsidR="00F84863">
        <w:rPr>
          <w:sz w:val="22"/>
        </w:rPr>
        <w:t xml:space="preserve">retail subsectors by number of jobs </w:t>
      </w:r>
      <w:r w:rsidR="004E33B4">
        <w:rPr>
          <w:sz w:val="22"/>
        </w:rPr>
        <w:t xml:space="preserve">are presented in Table </w:t>
      </w:r>
      <w:r>
        <w:rPr>
          <w:sz w:val="22"/>
        </w:rPr>
        <w:t>1.</w:t>
      </w:r>
      <w:r w:rsidR="006F790D" w:rsidRPr="006F790D">
        <w:rPr>
          <w:sz w:val="22"/>
        </w:rPr>
        <w:t xml:space="preserve"> </w:t>
      </w:r>
    </w:p>
    <w:p w14:paraId="13502B20" w14:textId="777F33EB" w:rsidR="00C06C25" w:rsidRPr="00C34FEA" w:rsidRDefault="00C06C25" w:rsidP="00C06C25">
      <w:pPr>
        <w:spacing w:after="0" w:line="257" w:lineRule="auto"/>
        <w:contextualSpacing/>
        <w:rPr>
          <w:color w:val="2E74B5" w:themeColor="accent1" w:themeShade="BF"/>
          <w:sz w:val="22"/>
        </w:rPr>
      </w:pPr>
      <w:r w:rsidRPr="00C34FEA">
        <w:rPr>
          <w:color w:val="2E74B5" w:themeColor="accent1" w:themeShade="BF"/>
          <w:sz w:val="22"/>
        </w:rPr>
        <w:t>Table 1</w:t>
      </w:r>
      <w:r w:rsidR="004E33B4" w:rsidRPr="00C34FEA">
        <w:rPr>
          <w:color w:val="2E74B5" w:themeColor="accent1" w:themeShade="BF"/>
          <w:sz w:val="22"/>
        </w:rPr>
        <w:t>.</w:t>
      </w:r>
      <w:r w:rsidRPr="00C34FEA">
        <w:rPr>
          <w:color w:val="2E74B5" w:themeColor="accent1" w:themeShade="BF"/>
          <w:sz w:val="22"/>
        </w:rPr>
        <w:t xml:space="preserve"> </w:t>
      </w:r>
      <w:r w:rsidR="00C34FEA" w:rsidRPr="00C34FEA">
        <w:rPr>
          <w:color w:val="2E74B5" w:themeColor="accent1" w:themeShade="BF"/>
          <w:sz w:val="22"/>
        </w:rPr>
        <w:t xml:space="preserve">2019 </w:t>
      </w:r>
      <w:r w:rsidRPr="00C34FEA">
        <w:rPr>
          <w:color w:val="2E74B5" w:themeColor="accent1" w:themeShade="BF"/>
          <w:sz w:val="22"/>
        </w:rPr>
        <w:t xml:space="preserve">Jobs by retail trade subsector (top-5), Niagara 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3865"/>
        <w:gridCol w:w="1170"/>
        <w:gridCol w:w="1440"/>
        <w:gridCol w:w="1447"/>
        <w:gridCol w:w="1613"/>
      </w:tblGrid>
      <w:tr w:rsidR="00C06C25" w:rsidRPr="00FB7FBA" w14:paraId="7310F87E" w14:textId="77777777" w:rsidTr="001E561F">
        <w:trPr>
          <w:trHeight w:val="189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59337A8" w14:textId="77777777" w:rsidR="00C06C25" w:rsidRPr="00FB7FBA" w:rsidRDefault="00C06C25" w:rsidP="00A060B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FBA">
              <w:rPr>
                <w:rFonts w:eastAsia="Times New Roman" w:cs="Times New Roman"/>
                <w:b/>
                <w:bCs/>
                <w:sz w:val="20"/>
                <w:szCs w:val="20"/>
              </w:rPr>
              <w:t>Retail Trade Subsectors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BCAD104" w14:textId="5876DDC0" w:rsidR="00C06C25" w:rsidRPr="00FB7FBA" w:rsidRDefault="00C06C25" w:rsidP="00AB5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FBA">
              <w:rPr>
                <w:rFonts w:eastAsia="Times New Roman" w:cs="Times New Roman"/>
                <w:b/>
                <w:bCs/>
                <w:sz w:val="20"/>
                <w:szCs w:val="20"/>
              </w:rPr>
              <w:t>Employee</w:t>
            </w:r>
            <w:r w:rsidR="00A407EC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A5F767" w14:textId="6326055C" w:rsidR="00C06C25" w:rsidRPr="00FB7FBA" w:rsidRDefault="00C06C25" w:rsidP="00AB5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FBA">
              <w:rPr>
                <w:rFonts w:eastAsia="Times New Roman" w:cs="Times New Roman"/>
                <w:b/>
                <w:bCs/>
                <w:sz w:val="20"/>
                <w:szCs w:val="20"/>
              </w:rPr>
              <w:t>Self-employed</w:t>
            </w:r>
          </w:p>
        </w:tc>
      </w:tr>
      <w:tr w:rsidR="00C06C25" w:rsidRPr="00FB7FBA" w14:paraId="186F6204" w14:textId="77777777" w:rsidTr="001E561F">
        <w:trPr>
          <w:trHeight w:val="189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</w:tcPr>
          <w:p w14:paraId="6D19DDF3" w14:textId="77777777" w:rsidR="00C06C25" w:rsidRPr="00FB7FBA" w:rsidRDefault="00C06C25" w:rsidP="00A060B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EEAF6" w:themeFill="accent1" w:themeFillTint="33"/>
            <w:noWrap/>
            <w:vAlign w:val="center"/>
          </w:tcPr>
          <w:p w14:paraId="1464ADF0" w14:textId="77777777" w:rsidR="00C06C25" w:rsidRPr="00FB7FBA" w:rsidRDefault="00C06C25" w:rsidP="00A06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7FBA">
              <w:rPr>
                <w:rFonts w:eastAsia="Times New Roman" w:cs="Times New Roman"/>
                <w:bCs/>
                <w:sz w:val="20"/>
                <w:szCs w:val="20"/>
              </w:rPr>
              <w:t>2019 Jobs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7190FF" w14:textId="0A2E4BE8" w:rsidR="00C06C25" w:rsidRPr="00FB7FBA" w:rsidRDefault="00AB570D" w:rsidP="00A06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%</w:t>
            </w:r>
            <w:r w:rsidR="00C06C25" w:rsidRPr="00FB7FBA">
              <w:rPr>
                <w:rFonts w:eastAsia="Times New Roman" w:cs="Times New Roman"/>
                <w:bCs/>
                <w:sz w:val="20"/>
                <w:szCs w:val="20"/>
              </w:rPr>
              <w:t xml:space="preserve"> of Jobs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0D48B69" w14:textId="77777777" w:rsidR="00C06C25" w:rsidRPr="00FB7FBA" w:rsidRDefault="00C06C25" w:rsidP="00A06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7FBA">
              <w:rPr>
                <w:rFonts w:eastAsia="Times New Roman" w:cs="Times New Roman"/>
                <w:bCs/>
                <w:sz w:val="20"/>
                <w:szCs w:val="20"/>
              </w:rPr>
              <w:t>2019 Jobs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F50FE4" w14:textId="276E064A" w:rsidR="00C06C25" w:rsidRPr="00FB7FBA" w:rsidRDefault="00AB570D" w:rsidP="00A06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%</w:t>
            </w:r>
            <w:r w:rsidR="00C06C25" w:rsidRPr="00FB7FBA">
              <w:rPr>
                <w:rFonts w:eastAsia="Times New Roman" w:cs="Times New Roman"/>
                <w:bCs/>
                <w:sz w:val="20"/>
                <w:szCs w:val="20"/>
              </w:rPr>
              <w:t xml:space="preserve"> of Jobs</w:t>
            </w:r>
          </w:p>
        </w:tc>
      </w:tr>
      <w:tr w:rsidR="00C06C25" w:rsidRPr="00FB7FBA" w14:paraId="0BA12533" w14:textId="77777777" w:rsidTr="00AB570D">
        <w:trPr>
          <w:trHeight w:val="18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F22C" w14:textId="77777777" w:rsidR="00C06C25" w:rsidRPr="00FB7FBA" w:rsidRDefault="00C06C25" w:rsidP="00A060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7FBA">
              <w:rPr>
                <w:rFonts w:eastAsia="Times New Roman" w:cs="Times New Roman"/>
                <w:sz w:val="20"/>
                <w:szCs w:val="20"/>
                <w:lang w:eastAsia="en-CA"/>
              </w:rPr>
              <w:t>Food &amp; beverage stores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2CA36BB" w14:textId="77777777" w:rsidR="00C06C25" w:rsidRPr="00FB7FBA" w:rsidRDefault="00155F20" w:rsidP="00C06C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6,901</w:t>
            </w:r>
          </w:p>
        </w:tc>
        <w:tc>
          <w:tcPr>
            <w:tcW w:w="1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</w:tcPr>
          <w:p w14:paraId="52A29F57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27.4%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7ACBD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235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E3AAA39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9.9%</w:t>
            </w:r>
          </w:p>
        </w:tc>
      </w:tr>
      <w:tr w:rsidR="00C06C25" w:rsidRPr="00FB7FBA" w14:paraId="2D280924" w14:textId="77777777" w:rsidTr="00AB570D">
        <w:trPr>
          <w:trHeight w:val="189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CDC" w14:textId="77777777" w:rsidR="00C06C25" w:rsidRPr="00FB7FBA" w:rsidRDefault="00C06C25" w:rsidP="00A06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B7FBA">
              <w:rPr>
                <w:rFonts w:eastAsia="Times New Roman" w:cs="Times New Roman"/>
                <w:sz w:val="20"/>
                <w:szCs w:val="20"/>
                <w:lang w:eastAsia="en-CA"/>
              </w:rPr>
              <w:t>Clothing &amp; clothing accessories stores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E51BAC4" w14:textId="77777777" w:rsidR="00C06C25" w:rsidRPr="00FB7FBA" w:rsidRDefault="00155F20" w:rsidP="00C06C2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CA"/>
              </w:rPr>
            </w:pPr>
            <w:r w:rsidRPr="00FB7FBA">
              <w:rPr>
                <w:rFonts w:eastAsia="Times New Roman" w:cs="Calibri"/>
                <w:sz w:val="20"/>
                <w:szCs w:val="20"/>
                <w:lang w:eastAsia="en-CA"/>
              </w:rPr>
              <w:t>3,346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</w:tcPr>
          <w:p w14:paraId="1076B8B0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CA"/>
              </w:rPr>
            </w:pPr>
            <w:r w:rsidRPr="00FB7FBA">
              <w:rPr>
                <w:rFonts w:eastAsia="Times New Roman" w:cs="Calibri"/>
                <w:sz w:val="20"/>
                <w:szCs w:val="20"/>
                <w:lang w:eastAsia="en-CA"/>
              </w:rPr>
              <w:t>13.3%</w:t>
            </w:r>
          </w:p>
        </w:tc>
        <w:tc>
          <w:tcPr>
            <w:tcW w:w="14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7F65B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6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1D2C04D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9.0%</w:t>
            </w:r>
          </w:p>
        </w:tc>
      </w:tr>
      <w:tr w:rsidR="00C06C25" w:rsidRPr="00FB7FBA" w14:paraId="6758A0C6" w14:textId="77777777" w:rsidTr="00AB570D">
        <w:trPr>
          <w:trHeight w:val="189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6246" w14:textId="77777777" w:rsidR="00C06C25" w:rsidRPr="00FB7FBA" w:rsidRDefault="00C06C25" w:rsidP="00A06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B7FBA">
              <w:rPr>
                <w:rFonts w:eastAsia="Times New Roman" w:cs="Times New Roman"/>
                <w:sz w:val="20"/>
                <w:szCs w:val="20"/>
                <w:lang w:eastAsia="en-CA"/>
              </w:rPr>
              <w:t>General merchandise stores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5B0DFA1C" w14:textId="77777777" w:rsidR="00C06C25" w:rsidRPr="00FB7FBA" w:rsidRDefault="00155F20" w:rsidP="00C06C2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CA"/>
              </w:rPr>
            </w:pPr>
            <w:r w:rsidRPr="00FB7FBA">
              <w:rPr>
                <w:rFonts w:eastAsia="Times New Roman" w:cs="Calibri"/>
                <w:sz w:val="20"/>
                <w:szCs w:val="20"/>
                <w:lang w:eastAsia="en-CA"/>
              </w:rPr>
              <w:t>3,226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</w:tcPr>
          <w:p w14:paraId="4240E68E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CA"/>
              </w:rPr>
            </w:pPr>
            <w:r w:rsidRPr="00FB7FBA">
              <w:rPr>
                <w:rFonts w:eastAsia="Times New Roman" w:cs="Calibri"/>
                <w:sz w:val="20"/>
                <w:szCs w:val="20"/>
                <w:lang w:eastAsia="en-CA"/>
              </w:rPr>
              <w:t>12.8%</w:t>
            </w:r>
          </w:p>
        </w:tc>
        <w:tc>
          <w:tcPr>
            <w:tcW w:w="14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99C05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6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D433BC5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1.2%</w:t>
            </w:r>
          </w:p>
        </w:tc>
      </w:tr>
      <w:tr w:rsidR="00C06C25" w:rsidRPr="00FB7FBA" w14:paraId="3ADE9257" w14:textId="77777777" w:rsidTr="00AB570D">
        <w:trPr>
          <w:trHeight w:val="189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AC36" w14:textId="77777777" w:rsidR="00C06C25" w:rsidRPr="00FB7FBA" w:rsidRDefault="00C06C25" w:rsidP="00A06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B7FBA">
              <w:rPr>
                <w:rFonts w:eastAsia="Times New Roman" w:cs="Times New Roman"/>
                <w:sz w:val="20"/>
                <w:szCs w:val="20"/>
                <w:lang w:eastAsia="en-CA"/>
              </w:rPr>
              <w:t>Motor vehicle &amp; parts dealers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D077D1E" w14:textId="425D3CB2" w:rsidR="00C06C25" w:rsidRPr="00FB7FBA" w:rsidRDefault="00155F20" w:rsidP="00A060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7FBA">
              <w:rPr>
                <w:rFonts w:eastAsia="Times New Roman" w:cs="Times New Roman"/>
                <w:sz w:val="20"/>
                <w:szCs w:val="20"/>
              </w:rPr>
              <w:t>2,61</w:t>
            </w:r>
            <w:r w:rsidR="00426DB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</w:tcPr>
          <w:p w14:paraId="6357B825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7FBA">
              <w:rPr>
                <w:rFonts w:eastAsia="Times New Roman" w:cs="Times New Roman"/>
                <w:sz w:val="20"/>
                <w:szCs w:val="20"/>
              </w:rPr>
              <w:t>10.4%</w:t>
            </w:r>
          </w:p>
        </w:tc>
        <w:tc>
          <w:tcPr>
            <w:tcW w:w="14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051E3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255</w:t>
            </w:r>
          </w:p>
        </w:tc>
        <w:tc>
          <w:tcPr>
            <w:tcW w:w="16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9924144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10.7%</w:t>
            </w:r>
          </w:p>
        </w:tc>
      </w:tr>
      <w:tr w:rsidR="00C06C25" w:rsidRPr="00FB7FBA" w14:paraId="12F8E91D" w14:textId="77777777" w:rsidTr="00AB570D">
        <w:trPr>
          <w:trHeight w:val="189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D5C5" w14:textId="5AA48847" w:rsidR="00C06C25" w:rsidRPr="00FB7FBA" w:rsidRDefault="00C06C25" w:rsidP="008D4A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B7FBA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Health </w:t>
            </w:r>
            <w:r w:rsidR="008D4A7E">
              <w:rPr>
                <w:rFonts w:eastAsia="Times New Roman" w:cs="Times New Roman"/>
                <w:sz w:val="20"/>
                <w:szCs w:val="20"/>
                <w:lang w:eastAsia="en-CA"/>
              </w:rPr>
              <w:t>&amp;</w:t>
            </w:r>
            <w:r w:rsidRPr="00FB7FBA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personal care stores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035A8F4" w14:textId="77777777" w:rsidR="00C06C25" w:rsidRPr="00FB7FBA" w:rsidRDefault="00C06C25" w:rsidP="00A060B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CA"/>
              </w:rPr>
            </w:pPr>
            <w:r w:rsidRPr="00FB7FBA">
              <w:rPr>
                <w:rFonts w:eastAsia="Times New Roman" w:cs="Calibri"/>
                <w:sz w:val="20"/>
                <w:szCs w:val="20"/>
                <w:lang w:eastAsia="en-CA"/>
              </w:rPr>
              <w:t>2,436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</w:tcPr>
          <w:p w14:paraId="659F6FEE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CA"/>
              </w:rPr>
            </w:pPr>
            <w:r w:rsidRPr="00FB7FBA">
              <w:rPr>
                <w:rFonts w:eastAsia="Times New Roman" w:cs="Calibri"/>
                <w:sz w:val="20"/>
                <w:szCs w:val="20"/>
                <w:lang w:eastAsia="en-CA"/>
              </w:rPr>
              <w:t>9.7%</w:t>
            </w:r>
          </w:p>
        </w:tc>
        <w:tc>
          <w:tcPr>
            <w:tcW w:w="14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5EEC1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106</w:t>
            </w:r>
          </w:p>
        </w:tc>
        <w:tc>
          <w:tcPr>
            <w:tcW w:w="16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2F52E2B" w14:textId="77777777" w:rsidR="00C06C25" w:rsidRPr="00FB7FBA" w:rsidRDefault="00155F20" w:rsidP="00A060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7FBA">
              <w:rPr>
                <w:rFonts w:cs="Calibri"/>
                <w:sz w:val="20"/>
                <w:szCs w:val="20"/>
              </w:rPr>
              <w:t>4.5%</w:t>
            </w:r>
          </w:p>
        </w:tc>
      </w:tr>
      <w:tr w:rsidR="00C06C25" w:rsidRPr="00FB7FBA" w14:paraId="44BF1AF2" w14:textId="77777777" w:rsidTr="00AB570D">
        <w:trPr>
          <w:trHeight w:val="18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A792" w14:textId="77777777" w:rsidR="00C06C25" w:rsidRPr="00FB7FBA" w:rsidRDefault="00C06C25" w:rsidP="00A060B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FB7FBA">
              <w:rPr>
                <w:rFonts w:eastAsia="Times New Roman" w:cs="Times New Roman"/>
                <w:b/>
                <w:sz w:val="20"/>
                <w:szCs w:val="20"/>
              </w:rPr>
              <w:t>Total Retail Trade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710790F" w14:textId="0DEE561A" w:rsidR="00C06C25" w:rsidRPr="00FB7FBA" w:rsidRDefault="00426DB1" w:rsidP="00C06C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1961" w14:textId="77777777" w:rsidR="00C06C25" w:rsidRPr="00FB7FBA" w:rsidRDefault="00C06C25" w:rsidP="00A060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7FBA">
              <w:rPr>
                <w:b/>
                <w:sz w:val="20"/>
                <w:szCs w:val="20"/>
              </w:rPr>
              <w:t>100.00%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</w:tcPr>
          <w:p w14:paraId="1B376B7E" w14:textId="77777777" w:rsidR="00C06C25" w:rsidRPr="00FB7FBA" w:rsidRDefault="00C06C25" w:rsidP="00A060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CA"/>
              </w:rPr>
            </w:pPr>
            <w:r w:rsidRPr="00FB7FBA">
              <w:rPr>
                <w:b/>
                <w:sz w:val="20"/>
                <w:szCs w:val="20"/>
              </w:rPr>
              <w:t>2,378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8237EAA" w14:textId="77777777" w:rsidR="00C06C25" w:rsidRPr="00FB7FBA" w:rsidRDefault="00C06C25" w:rsidP="00A060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CA"/>
              </w:rPr>
            </w:pPr>
            <w:r w:rsidRPr="00FB7FBA">
              <w:rPr>
                <w:b/>
                <w:sz w:val="20"/>
                <w:szCs w:val="20"/>
              </w:rPr>
              <w:t>100.00%</w:t>
            </w:r>
          </w:p>
        </w:tc>
      </w:tr>
    </w:tbl>
    <w:p w14:paraId="727991EC" w14:textId="77777777" w:rsidR="00C06C25" w:rsidRPr="00E32053" w:rsidRDefault="00C06C25" w:rsidP="00AB570D">
      <w:pPr>
        <w:spacing w:after="120" w:line="257" w:lineRule="auto"/>
        <w:rPr>
          <w:sz w:val="16"/>
          <w:szCs w:val="16"/>
        </w:rPr>
      </w:pPr>
      <w:r w:rsidRPr="00E32053">
        <w:rPr>
          <w:sz w:val="16"/>
          <w:szCs w:val="16"/>
        </w:rPr>
        <w:t>Source: EMSI Analyst, 2020.1 dataset, employee and self-employed</w:t>
      </w:r>
    </w:p>
    <w:p w14:paraId="7A60E74F" w14:textId="77777777" w:rsidR="00155F20" w:rsidRPr="00E32053" w:rsidRDefault="00155F20" w:rsidP="00155F20">
      <w:pPr>
        <w:pStyle w:val="Heading2"/>
      </w:pPr>
      <w:r>
        <w:t>The Impact of COVID-19 on Retail Trade Employment</w:t>
      </w:r>
    </w:p>
    <w:p w14:paraId="7296C81E" w14:textId="43A9CA32" w:rsidR="00C06C25" w:rsidRPr="00000E45" w:rsidRDefault="00155F20" w:rsidP="4CDAB398">
      <w:pPr>
        <w:rPr>
          <w:sz w:val="22"/>
        </w:rPr>
      </w:pPr>
      <w:r w:rsidRPr="4CDAB398">
        <w:rPr>
          <w:sz w:val="22"/>
        </w:rPr>
        <w:t>Data</w:t>
      </w:r>
      <w:r w:rsidR="00C06C25" w:rsidRPr="4CDAB398">
        <w:rPr>
          <w:sz w:val="22"/>
        </w:rPr>
        <w:t xml:space="preserve"> from </w:t>
      </w:r>
      <w:r w:rsidR="00BE197B" w:rsidRPr="4CDAB398">
        <w:rPr>
          <w:sz w:val="22"/>
        </w:rPr>
        <w:t xml:space="preserve">Statistics Canada’s </w:t>
      </w:r>
      <w:r w:rsidR="00C06C25" w:rsidRPr="4CDAB398">
        <w:rPr>
          <w:sz w:val="22"/>
        </w:rPr>
        <w:t xml:space="preserve">monthly Labour Force Survey </w:t>
      </w:r>
      <w:r w:rsidR="00D63B19" w:rsidRPr="4CDAB398">
        <w:rPr>
          <w:sz w:val="22"/>
        </w:rPr>
        <w:t>highlight</w:t>
      </w:r>
      <w:r w:rsidR="00C06C25" w:rsidRPr="4CDAB398">
        <w:rPr>
          <w:sz w:val="22"/>
        </w:rPr>
        <w:t xml:space="preserve"> a </w:t>
      </w:r>
      <w:r w:rsidR="00BE197B" w:rsidRPr="4CDAB398">
        <w:rPr>
          <w:sz w:val="22"/>
        </w:rPr>
        <w:t>significant</w:t>
      </w:r>
      <w:r w:rsidR="00C06C25" w:rsidRPr="4CDAB398">
        <w:rPr>
          <w:sz w:val="22"/>
        </w:rPr>
        <w:t xml:space="preserve"> drop in the number of people </w:t>
      </w:r>
      <w:r w:rsidR="00B63ADA">
        <w:rPr>
          <w:sz w:val="22"/>
        </w:rPr>
        <w:t>employed</w:t>
      </w:r>
      <w:r w:rsidR="00C06C25" w:rsidRPr="4CDAB398">
        <w:rPr>
          <w:sz w:val="22"/>
        </w:rPr>
        <w:t xml:space="preserve"> in the </w:t>
      </w:r>
      <w:r w:rsidR="00C06C25" w:rsidRPr="4B811D38">
        <w:rPr>
          <w:i/>
          <w:iCs/>
          <w:sz w:val="22"/>
        </w:rPr>
        <w:t xml:space="preserve">wholesale and retail trade </w:t>
      </w:r>
      <w:r w:rsidR="00C06C25" w:rsidRPr="4CDAB398">
        <w:rPr>
          <w:sz w:val="22"/>
        </w:rPr>
        <w:t>industry followin</w:t>
      </w:r>
      <w:r w:rsidR="00D63B19" w:rsidRPr="4CDAB398">
        <w:rPr>
          <w:sz w:val="22"/>
        </w:rPr>
        <w:t>g the outbreak of the pandemic</w:t>
      </w:r>
      <w:r w:rsidR="00C06C25" w:rsidRPr="4CDAB398">
        <w:rPr>
          <w:sz w:val="22"/>
        </w:rPr>
        <w:t>.</w:t>
      </w:r>
      <w:r w:rsidR="006F790D" w:rsidRPr="4CDAB398">
        <w:rPr>
          <w:rStyle w:val="FootnoteReference"/>
          <w:sz w:val="22"/>
        </w:rPr>
        <w:footnoteReference w:id="1"/>
      </w:r>
      <w:r w:rsidR="00C06C25" w:rsidRPr="4CDAB398">
        <w:rPr>
          <w:sz w:val="22"/>
        </w:rPr>
        <w:t xml:space="preserve"> </w:t>
      </w:r>
      <w:r w:rsidR="00AB570D" w:rsidRPr="4CDAB398">
        <w:rPr>
          <w:sz w:val="22"/>
        </w:rPr>
        <w:t>Specifically, between February and June 2020, the number of people working in th</w:t>
      </w:r>
      <w:r w:rsidR="006F790D" w:rsidRPr="4CDAB398">
        <w:rPr>
          <w:sz w:val="22"/>
        </w:rPr>
        <w:t>is</w:t>
      </w:r>
      <w:r w:rsidR="006F790D" w:rsidRPr="4B811D38">
        <w:rPr>
          <w:i/>
          <w:iCs/>
          <w:sz w:val="22"/>
        </w:rPr>
        <w:t xml:space="preserve"> </w:t>
      </w:r>
      <w:r w:rsidR="00AB570D" w:rsidRPr="4CDAB398">
        <w:rPr>
          <w:sz w:val="22"/>
        </w:rPr>
        <w:t xml:space="preserve">industry decreased from 32,300 to 24,900 </w:t>
      </w:r>
      <w:r w:rsidR="007E5F4A" w:rsidRPr="4CDAB398">
        <w:rPr>
          <w:sz w:val="22"/>
        </w:rPr>
        <w:t xml:space="preserve">(see </w:t>
      </w:r>
      <w:r w:rsidR="00257566" w:rsidRPr="4CDAB398">
        <w:rPr>
          <w:sz w:val="22"/>
        </w:rPr>
        <w:t xml:space="preserve">Figure </w:t>
      </w:r>
      <w:r w:rsidR="00582EC3" w:rsidRPr="4CDAB398">
        <w:rPr>
          <w:sz w:val="22"/>
        </w:rPr>
        <w:t>1</w:t>
      </w:r>
      <w:r w:rsidR="006F790D" w:rsidRPr="4CDAB398">
        <w:rPr>
          <w:sz w:val="22"/>
        </w:rPr>
        <w:t xml:space="preserve">). This shift in employment </w:t>
      </w:r>
      <w:r w:rsidR="00582EC3" w:rsidRPr="4CDAB398">
        <w:rPr>
          <w:sz w:val="22"/>
        </w:rPr>
        <w:t>contrasts the typical seasonal increase that we see during this period</w:t>
      </w:r>
      <w:r w:rsidR="5CE8D3C2" w:rsidRPr="4CDAB398">
        <w:rPr>
          <w:sz w:val="22"/>
        </w:rPr>
        <w:t xml:space="preserve"> and was significantly larger than what was seen during the first half of 2019</w:t>
      </w:r>
      <w:r w:rsidR="00414A4E">
        <w:rPr>
          <w:sz w:val="22"/>
        </w:rPr>
        <w:t>.</w:t>
      </w:r>
      <w:r w:rsidR="00582EC3" w:rsidRPr="4CDAB398" w:rsidDel="00582EC3">
        <w:rPr>
          <w:sz w:val="22"/>
        </w:rPr>
        <w:t xml:space="preserve"> </w:t>
      </w:r>
    </w:p>
    <w:p w14:paraId="1D882202" w14:textId="0AF2B7DA" w:rsidR="00C06C25" w:rsidRPr="00FC47BC" w:rsidRDefault="00257566" w:rsidP="00582EC3">
      <w:pPr>
        <w:spacing w:line="257" w:lineRule="auto"/>
        <w:contextualSpacing/>
        <w:rPr>
          <w:color w:val="2E74B5" w:themeColor="accent1" w:themeShade="BF"/>
          <w:sz w:val="22"/>
        </w:rPr>
      </w:pPr>
      <w:r w:rsidRPr="00FC47BC">
        <w:rPr>
          <w:color w:val="2E74B5" w:themeColor="accent1" w:themeShade="BF"/>
          <w:sz w:val="22"/>
        </w:rPr>
        <w:t xml:space="preserve">Figure </w:t>
      </w:r>
      <w:r w:rsidR="00582EC3" w:rsidRPr="00FC47BC">
        <w:rPr>
          <w:color w:val="2E74B5" w:themeColor="accent1" w:themeShade="BF"/>
          <w:sz w:val="22"/>
        </w:rPr>
        <w:t>1</w:t>
      </w:r>
      <w:r w:rsidR="004E33B4" w:rsidRPr="00FC47BC">
        <w:rPr>
          <w:color w:val="2E74B5" w:themeColor="accent1" w:themeShade="BF"/>
          <w:sz w:val="22"/>
        </w:rPr>
        <w:t>.</w:t>
      </w:r>
      <w:r w:rsidR="00C06C25" w:rsidRPr="00FC47BC">
        <w:rPr>
          <w:color w:val="2E74B5" w:themeColor="accent1" w:themeShade="BF"/>
          <w:sz w:val="22"/>
        </w:rPr>
        <w:t xml:space="preserve"> Number of people </w:t>
      </w:r>
      <w:r w:rsidR="00182662">
        <w:rPr>
          <w:color w:val="2E74B5" w:themeColor="accent1" w:themeShade="BF"/>
          <w:sz w:val="22"/>
        </w:rPr>
        <w:t>employed</w:t>
      </w:r>
      <w:r w:rsidR="00C06C25" w:rsidRPr="00FC47BC">
        <w:rPr>
          <w:color w:val="2E74B5" w:themeColor="accent1" w:themeShade="BF"/>
          <w:sz w:val="22"/>
        </w:rPr>
        <w:t xml:space="preserve"> in the </w:t>
      </w:r>
      <w:r w:rsidR="00C06C25" w:rsidRPr="00FC47BC">
        <w:rPr>
          <w:i/>
          <w:color w:val="2E74B5" w:themeColor="accent1" w:themeShade="BF"/>
          <w:sz w:val="22"/>
        </w:rPr>
        <w:t>wholesale and retail trade</w:t>
      </w:r>
      <w:r w:rsidR="00C06C25" w:rsidRPr="00FC47BC">
        <w:rPr>
          <w:color w:val="2E74B5" w:themeColor="accent1" w:themeShade="BF"/>
          <w:sz w:val="22"/>
        </w:rPr>
        <w:t xml:space="preserve"> industry, St. Catharines-Niagara CMA</w:t>
      </w:r>
    </w:p>
    <w:p w14:paraId="5FC7A030" w14:textId="538DE815" w:rsidR="006F790D" w:rsidRPr="00000E45" w:rsidRDefault="006F790D" w:rsidP="00C06C25">
      <w:pPr>
        <w:spacing w:after="0" w:line="257" w:lineRule="auto"/>
        <w:rPr>
          <w:color w:val="0070C0"/>
          <w:sz w:val="22"/>
        </w:rPr>
      </w:pPr>
      <w:r>
        <w:rPr>
          <w:noProof/>
          <w:lang w:eastAsia="en-CA"/>
        </w:rPr>
        <w:drawing>
          <wp:inline distT="0" distB="0" distL="0" distR="0" wp14:anchorId="060D50EA" wp14:editId="6F2B333E">
            <wp:extent cx="5810250" cy="1409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A6480D" w14:textId="77777777" w:rsidR="00C06C25" w:rsidRPr="00B44D8B" w:rsidRDefault="00C06C25" w:rsidP="00C06C25">
      <w:pPr>
        <w:spacing w:after="0"/>
        <w:rPr>
          <w:color w:val="000000" w:themeColor="text1"/>
          <w:sz w:val="16"/>
          <w:szCs w:val="16"/>
        </w:rPr>
      </w:pPr>
      <w:r w:rsidRPr="00B44D8B">
        <w:rPr>
          <w:color w:val="000000" w:themeColor="text1"/>
          <w:sz w:val="16"/>
          <w:szCs w:val="16"/>
        </w:rPr>
        <w:t>Source: Statistics Canada Labour</w:t>
      </w:r>
      <w:r>
        <w:rPr>
          <w:color w:val="000000" w:themeColor="text1"/>
          <w:sz w:val="16"/>
          <w:szCs w:val="16"/>
        </w:rPr>
        <w:t xml:space="preserve"> Force Survey, Table: 14-10-0097-01 (formerly CANSIM 282-0130</w:t>
      </w:r>
      <w:r w:rsidRPr="00B44D8B">
        <w:rPr>
          <w:color w:val="000000" w:themeColor="text1"/>
          <w:sz w:val="16"/>
          <w:szCs w:val="16"/>
        </w:rPr>
        <w:t>)</w:t>
      </w:r>
    </w:p>
    <w:p w14:paraId="2FD5EDCA" w14:textId="56970195" w:rsidR="00FD0E7C" w:rsidRPr="00FD0E7C" w:rsidRDefault="00FD0E7C" w:rsidP="00FD0E7C">
      <w:pPr>
        <w:pStyle w:val="Heading2"/>
      </w:pPr>
      <w:r>
        <w:lastRenderedPageBreak/>
        <w:t>The Impact of COVID-19 on Retail Trade Job Demand</w:t>
      </w:r>
    </w:p>
    <w:p w14:paraId="1626FF94" w14:textId="3EB89A73" w:rsidR="00C06C25" w:rsidRPr="00ED0439" w:rsidRDefault="00FF49AF" w:rsidP="4CDAB398">
      <w:pPr>
        <w:spacing w:before="120" w:after="120" w:line="240" w:lineRule="auto"/>
        <w:rPr>
          <w:rFonts w:eastAsia="Times New Roman" w:cs="Times New Roman"/>
          <w:sz w:val="22"/>
        </w:rPr>
      </w:pPr>
      <w:r w:rsidRPr="27394EE4">
        <w:rPr>
          <w:rFonts w:eastAsia="Times New Roman" w:cs="Times New Roman"/>
          <w:sz w:val="22"/>
        </w:rPr>
        <w:t>In addition to changes in employment, we can also examine the impact of</w:t>
      </w:r>
      <w:r w:rsidR="00D63B19" w:rsidRPr="27394EE4">
        <w:rPr>
          <w:rFonts w:eastAsia="Times New Roman" w:cs="Times New Roman"/>
          <w:sz w:val="22"/>
        </w:rPr>
        <w:t xml:space="preserve"> COVID-19</w:t>
      </w:r>
      <w:r w:rsidRPr="27394EE4">
        <w:rPr>
          <w:rFonts w:eastAsia="Times New Roman" w:cs="Times New Roman"/>
          <w:sz w:val="22"/>
        </w:rPr>
        <w:t xml:space="preserve"> on measureable job demand. </w:t>
      </w:r>
      <w:r w:rsidR="00D63B19" w:rsidRPr="27394EE4">
        <w:rPr>
          <w:rFonts w:eastAsia="Times New Roman" w:cs="Times New Roman"/>
          <w:sz w:val="22"/>
        </w:rPr>
        <w:t>As</w:t>
      </w:r>
      <w:r w:rsidR="006E62B8" w:rsidRPr="27394EE4">
        <w:rPr>
          <w:rFonts w:eastAsia="Times New Roman" w:cs="Times New Roman"/>
          <w:sz w:val="22"/>
        </w:rPr>
        <w:t xml:space="preserve"> expected</w:t>
      </w:r>
      <w:r w:rsidR="00D63B19" w:rsidRPr="27394EE4">
        <w:rPr>
          <w:rFonts w:eastAsia="Times New Roman" w:cs="Times New Roman"/>
          <w:sz w:val="22"/>
        </w:rPr>
        <w:t xml:space="preserve">, we see a decrease in </w:t>
      </w:r>
      <w:r w:rsidR="00737C34" w:rsidRPr="27394EE4">
        <w:rPr>
          <w:rFonts w:eastAsia="Times New Roman" w:cs="Times New Roman"/>
          <w:sz w:val="22"/>
        </w:rPr>
        <w:t>postings immediately after the pandemic was declared. Unique job postings for retail trade positions</w:t>
      </w:r>
      <w:r w:rsidR="00ED0439" w:rsidRPr="27394EE4">
        <w:rPr>
          <w:rFonts w:eastAsia="Times New Roman" w:cs="Times New Roman"/>
          <w:sz w:val="22"/>
        </w:rPr>
        <w:t xml:space="preserve"> in Niagara</w:t>
      </w:r>
      <w:r w:rsidR="00737C34" w:rsidRPr="27394EE4">
        <w:rPr>
          <w:rFonts w:eastAsia="Times New Roman" w:cs="Times New Roman"/>
          <w:sz w:val="22"/>
        </w:rPr>
        <w:t xml:space="preserve"> declined from 1,176 in March to 956 in April. </w:t>
      </w:r>
      <w:r w:rsidR="32AA3525" w:rsidRPr="27394EE4">
        <w:rPr>
          <w:rFonts w:eastAsia="Times New Roman" w:cs="Times New Roman"/>
          <w:sz w:val="22"/>
        </w:rPr>
        <w:t>S</w:t>
      </w:r>
      <w:r w:rsidR="00ED0439" w:rsidRPr="27394EE4">
        <w:rPr>
          <w:rFonts w:eastAsia="Times New Roman" w:cs="Times New Roman"/>
          <w:sz w:val="22"/>
        </w:rPr>
        <w:t>ince April</w:t>
      </w:r>
      <w:r w:rsidR="7A4C50E4" w:rsidRPr="27394EE4">
        <w:rPr>
          <w:rFonts w:eastAsia="Times New Roman" w:cs="Times New Roman"/>
          <w:sz w:val="22"/>
        </w:rPr>
        <w:t>,</w:t>
      </w:r>
      <w:r w:rsidR="00ED0439" w:rsidRPr="27394EE4">
        <w:rPr>
          <w:rFonts w:eastAsia="Times New Roman" w:cs="Times New Roman"/>
          <w:sz w:val="22"/>
        </w:rPr>
        <w:t xml:space="preserve"> we have seen a</w:t>
      </w:r>
      <w:r w:rsidR="001D46B2" w:rsidRPr="27394EE4">
        <w:rPr>
          <w:rFonts w:eastAsia="Times New Roman" w:cs="Times New Roman"/>
          <w:sz w:val="22"/>
        </w:rPr>
        <w:t xml:space="preserve">n </w:t>
      </w:r>
      <w:r w:rsidR="00ED0439" w:rsidRPr="27394EE4">
        <w:rPr>
          <w:rFonts w:eastAsia="Times New Roman" w:cs="Times New Roman"/>
          <w:sz w:val="22"/>
        </w:rPr>
        <w:t>increase</w:t>
      </w:r>
      <w:r w:rsidR="001D46B2" w:rsidRPr="27394EE4">
        <w:rPr>
          <w:rFonts w:eastAsia="Times New Roman" w:cs="Times New Roman"/>
          <w:sz w:val="22"/>
        </w:rPr>
        <w:t xml:space="preserve"> in measureable job demand</w:t>
      </w:r>
      <w:r w:rsidR="00ED0439" w:rsidRPr="27394EE4">
        <w:rPr>
          <w:rFonts w:eastAsia="Times New Roman" w:cs="Times New Roman"/>
          <w:sz w:val="22"/>
        </w:rPr>
        <w:t xml:space="preserve">, </w:t>
      </w:r>
      <w:r w:rsidR="2EB52C05" w:rsidRPr="27394EE4">
        <w:rPr>
          <w:rFonts w:eastAsia="Times New Roman" w:cs="Times New Roman"/>
          <w:sz w:val="22"/>
        </w:rPr>
        <w:t>such that</w:t>
      </w:r>
      <w:r w:rsidR="00ED0439" w:rsidRPr="27394EE4">
        <w:rPr>
          <w:rFonts w:eastAsia="Times New Roman" w:cs="Times New Roman"/>
          <w:sz w:val="22"/>
        </w:rPr>
        <w:t xml:space="preserve"> unique job postings in July</w:t>
      </w:r>
      <w:r w:rsidR="006E62B8" w:rsidRPr="27394EE4">
        <w:rPr>
          <w:rFonts w:eastAsia="Times New Roman" w:cs="Times New Roman"/>
          <w:sz w:val="22"/>
        </w:rPr>
        <w:t xml:space="preserve"> </w:t>
      </w:r>
      <w:r w:rsidR="005F67E5" w:rsidRPr="27394EE4">
        <w:rPr>
          <w:rFonts w:eastAsia="Times New Roman" w:cs="Times New Roman"/>
          <w:sz w:val="22"/>
        </w:rPr>
        <w:t>reach</w:t>
      </w:r>
      <w:r w:rsidR="3817924D" w:rsidRPr="27394EE4">
        <w:rPr>
          <w:rFonts w:eastAsia="Times New Roman" w:cs="Times New Roman"/>
          <w:sz w:val="22"/>
        </w:rPr>
        <w:t>ed</w:t>
      </w:r>
      <w:r w:rsidR="005F67E5" w:rsidRPr="27394EE4">
        <w:rPr>
          <w:rFonts w:eastAsia="Times New Roman" w:cs="Times New Roman"/>
          <w:sz w:val="22"/>
        </w:rPr>
        <w:t xml:space="preserve"> the same level seen in January (see Figure </w:t>
      </w:r>
      <w:r w:rsidR="00582EC3" w:rsidRPr="27394EE4">
        <w:rPr>
          <w:rFonts w:eastAsia="Times New Roman" w:cs="Times New Roman"/>
          <w:sz w:val="22"/>
        </w:rPr>
        <w:t>2</w:t>
      </w:r>
      <w:r w:rsidR="005F67E5" w:rsidRPr="27394EE4">
        <w:rPr>
          <w:rFonts w:eastAsia="Times New Roman" w:cs="Times New Roman"/>
          <w:sz w:val="22"/>
        </w:rPr>
        <w:t xml:space="preserve">). </w:t>
      </w:r>
      <w:r w:rsidR="00506554" w:rsidRPr="27394EE4">
        <w:rPr>
          <w:rFonts w:eastAsia="Times New Roman" w:cs="Times New Roman"/>
          <w:sz w:val="22"/>
        </w:rPr>
        <w:t>We will continue to monitor j</w:t>
      </w:r>
      <w:r w:rsidR="00812878" w:rsidRPr="27394EE4">
        <w:rPr>
          <w:rFonts w:eastAsia="Times New Roman" w:cs="Times New Roman"/>
          <w:sz w:val="22"/>
        </w:rPr>
        <w:t>ob demand as</w:t>
      </w:r>
      <w:r w:rsidR="00344AB1" w:rsidRPr="27394EE4">
        <w:rPr>
          <w:rFonts w:eastAsia="Times New Roman" w:cs="Times New Roman"/>
          <w:sz w:val="22"/>
        </w:rPr>
        <w:t xml:space="preserve"> local and provincial </w:t>
      </w:r>
      <w:r w:rsidR="00ED4961" w:rsidRPr="27394EE4">
        <w:rPr>
          <w:rFonts w:eastAsia="Times New Roman" w:cs="Times New Roman"/>
          <w:sz w:val="22"/>
        </w:rPr>
        <w:t xml:space="preserve">responses to </w:t>
      </w:r>
      <w:r w:rsidR="00344AB1" w:rsidRPr="27394EE4">
        <w:rPr>
          <w:rFonts w:eastAsia="Times New Roman" w:cs="Times New Roman"/>
          <w:sz w:val="22"/>
        </w:rPr>
        <w:t>COVID-19 adapt to changing realities over the coming months.</w:t>
      </w:r>
      <w:r w:rsidR="00812878" w:rsidRPr="27394EE4">
        <w:rPr>
          <w:rFonts w:eastAsia="Times New Roman" w:cs="Times New Roman"/>
          <w:sz w:val="22"/>
        </w:rPr>
        <w:t xml:space="preserve"> </w:t>
      </w:r>
    </w:p>
    <w:p w14:paraId="712796F9" w14:textId="1E1D585E" w:rsidR="00C06C25" w:rsidRPr="00000E45" w:rsidRDefault="00884C57" w:rsidP="00C06C25">
      <w:pPr>
        <w:spacing w:line="257" w:lineRule="auto"/>
        <w:contextualSpacing/>
        <w:rPr>
          <w:color w:val="0070C0"/>
          <w:sz w:val="22"/>
        </w:rPr>
      </w:pPr>
      <w:r w:rsidRPr="0019264A">
        <w:rPr>
          <w:noProof/>
          <w:color w:val="2E74B5" w:themeColor="accent1" w:themeShade="BF"/>
          <w:lang w:eastAsia="en-CA"/>
        </w:rPr>
        <w:drawing>
          <wp:anchor distT="0" distB="0" distL="114300" distR="114300" simplePos="0" relativeHeight="251658240" behindDoc="0" locked="0" layoutInCell="1" allowOverlap="1" wp14:anchorId="5C95FB89" wp14:editId="597CF1DF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5876925" cy="1371600"/>
            <wp:effectExtent l="0" t="0" r="9525" b="0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3B4" w:rsidRPr="0019264A">
        <w:rPr>
          <w:color w:val="2E74B5" w:themeColor="accent1" w:themeShade="BF"/>
          <w:sz w:val="22"/>
        </w:rPr>
        <w:t xml:space="preserve">Figure </w:t>
      </w:r>
      <w:r w:rsidR="00582EC3" w:rsidRPr="0019264A">
        <w:rPr>
          <w:color w:val="2E74B5" w:themeColor="accent1" w:themeShade="BF"/>
          <w:sz w:val="22"/>
        </w:rPr>
        <w:t>2</w:t>
      </w:r>
      <w:r w:rsidR="004E33B4" w:rsidRPr="0019264A">
        <w:rPr>
          <w:color w:val="2E74B5" w:themeColor="accent1" w:themeShade="BF"/>
          <w:sz w:val="22"/>
        </w:rPr>
        <w:t>.</w:t>
      </w:r>
      <w:r w:rsidR="00C06C25" w:rsidRPr="0019264A">
        <w:rPr>
          <w:color w:val="2E74B5" w:themeColor="accent1" w:themeShade="BF"/>
          <w:sz w:val="22"/>
        </w:rPr>
        <w:t xml:space="preserve"> Job postings by month,</w:t>
      </w:r>
      <w:r w:rsidR="004E33B4" w:rsidRPr="0019264A">
        <w:rPr>
          <w:color w:val="2E74B5" w:themeColor="accent1" w:themeShade="BF"/>
          <w:sz w:val="22"/>
        </w:rPr>
        <w:t xml:space="preserve"> retail trade,</w:t>
      </w:r>
      <w:r w:rsidR="00C06C25" w:rsidRPr="0019264A">
        <w:rPr>
          <w:color w:val="2E74B5" w:themeColor="accent1" w:themeShade="BF"/>
          <w:sz w:val="22"/>
        </w:rPr>
        <w:t xml:space="preserve"> January-</w:t>
      </w:r>
      <w:r w:rsidR="00ED0439" w:rsidRPr="0019264A">
        <w:rPr>
          <w:color w:val="2E74B5" w:themeColor="accent1" w:themeShade="BF"/>
          <w:sz w:val="22"/>
        </w:rPr>
        <w:t>July</w:t>
      </w:r>
      <w:r w:rsidR="00C06C25" w:rsidRPr="0019264A">
        <w:rPr>
          <w:color w:val="2E74B5" w:themeColor="accent1" w:themeShade="BF"/>
          <w:sz w:val="22"/>
        </w:rPr>
        <w:t xml:space="preserve"> 2020</w:t>
      </w:r>
      <w:r w:rsidR="00ED0439" w:rsidRPr="0019264A">
        <w:rPr>
          <w:color w:val="2E74B5" w:themeColor="accent1" w:themeShade="BF"/>
          <w:sz w:val="22"/>
        </w:rPr>
        <w:t>, Niagara</w:t>
      </w:r>
    </w:p>
    <w:p w14:paraId="6B829038" w14:textId="3D8430FA" w:rsidR="00C06C25" w:rsidRPr="0032189E" w:rsidRDefault="00C06C25" w:rsidP="00C06C25">
      <w:pPr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32189E">
        <w:rPr>
          <w:sz w:val="16"/>
          <w:szCs w:val="16"/>
        </w:rPr>
        <w:t>Source: </w:t>
      </w:r>
      <w:r w:rsidR="00884C57">
        <w:rPr>
          <w:sz w:val="16"/>
          <w:szCs w:val="16"/>
        </w:rPr>
        <w:t>EMSI Analyst 2020.1 Unique Job Postings by Industry</w:t>
      </w:r>
      <w:r w:rsidR="00ED0439">
        <w:rPr>
          <w:sz w:val="16"/>
          <w:szCs w:val="16"/>
        </w:rPr>
        <w:t>, 2020</w:t>
      </w:r>
    </w:p>
    <w:p w14:paraId="5D679A73" w14:textId="62E50457" w:rsidR="001D0EBB" w:rsidRPr="004F23B4" w:rsidRDefault="00D63B19" w:rsidP="00C06C25">
      <w:pPr>
        <w:spacing w:after="100" w:afterAutospacing="1" w:line="240" w:lineRule="auto"/>
        <w:rPr>
          <w:color w:val="FF0000"/>
          <w:sz w:val="22"/>
        </w:rPr>
      </w:pPr>
      <w:r w:rsidRPr="00865E9C">
        <w:rPr>
          <w:sz w:val="22"/>
        </w:rPr>
        <w:t>K</w:t>
      </w:r>
      <w:r w:rsidR="00C06C25" w:rsidRPr="00865E9C">
        <w:rPr>
          <w:sz w:val="22"/>
        </w:rPr>
        <w:t xml:space="preserve">eeping in mind that a number of </w:t>
      </w:r>
      <w:r w:rsidR="004457D3">
        <w:rPr>
          <w:sz w:val="22"/>
        </w:rPr>
        <w:t>retail businesses</w:t>
      </w:r>
      <w:r w:rsidR="004457D3" w:rsidRPr="00865E9C">
        <w:rPr>
          <w:sz w:val="22"/>
        </w:rPr>
        <w:t xml:space="preserve"> </w:t>
      </w:r>
      <w:r w:rsidR="00C06C25" w:rsidRPr="00865E9C">
        <w:rPr>
          <w:sz w:val="22"/>
        </w:rPr>
        <w:t>were deemed essential and</w:t>
      </w:r>
      <w:r w:rsidR="001A20F1">
        <w:rPr>
          <w:sz w:val="22"/>
        </w:rPr>
        <w:t>,</w:t>
      </w:r>
      <w:r w:rsidR="00C06C25" w:rsidRPr="00865E9C">
        <w:rPr>
          <w:sz w:val="22"/>
        </w:rPr>
        <w:t xml:space="preserve"> therefore</w:t>
      </w:r>
      <w:r w:rsidR="001A20F1">
        <w:rPr>
          <w:sz w:val="22"/>
        </w:rPr>
        <w:t>,</w:t>
      </w:r>
      <w:r w:rsidR="00C06C25" w:rsidRPr="00865E9C">
        <w:rPr>
          <w:sz w:val="22"/>
        </w:rPr>
        <w:t xml:space="preserve"> remained open, </w:t>
      </w:r>
      <w:r w:rsidR="001D0EBB" w:rsidRPr="00865E9C">
        <w:rPr>
          <w:sz w:val="22"/>
        </w:rPr>
        <w:t xml:space="preserve">we broke down job posting data by retail trade subsector. </w:t>
      </w:r>
      <w:r w:rsidR="00D66FDF">
        <w:rPr>
          <w:sz w:val="22"/>
        </w:rPr>
        <w:t xml:space="preserve">Table </w:t>
      </w:r>
      <w:r w:rsidR="001A20F1">
        <w:rPr>
          <w:sz w:val="22"/>
        </w:rPr>
        <w:t>3</w:t>
      </w:r>
      <w:r w:rsidR="00D66FDF">
        <w:rPr>
          <w:sz w:val="22"/>
        </w:rPr>
        <w:t xml:space="preserve"> shows </w:t>
      </w:r>
      <w:r w:rsidR="001D0EBB" w:rsidRPr="00865E9C">
        <w:rPr>
          <w:sz w:val="22"/>
        </w:rPr>
        <w:t xml:space="preserve">that </w:t>
      </w:r>
      <w:r w:rsidR="002930A0">
        <w:rPr>
          <w:sz w:val="22"/>
        </w:rPr>
        <w:t xml:space="preserve">job </w:t>
      </w:r>
      <w:r w:rsidR="00865E9C" w:rsidRPr="00865E9C">
        <w:rPr>
          <w:sz w:val="22"/>
        </w:rPr>
        <w:t xml:space="preserve">postings for </w:t>
      </w:r>
      <w:r w:rsidR="001D0EBB" w:rsidRPr="00865E9C">
        <w:rPr>
          <w:i/>
          <w:sz w:val="22"/>
        </w:rPr>
        <w:t>clothing and clothing accessories stores</w:t>
      </w:r>
      <w:r w:rsidR="00865E9C" w:rsidRPr="00865E9C">
        <w:rPr>
          <w:i/>
          <w:sz w:val="22"/>
        </w:rPr>
        <w:t xml:space="preserve"> </w:t>
      </w:r>
      <w:r w:rsidR="00865E9C" w:rsidRPr="00865E9C">
        <w:rPr>
          <w:sz w:val="22"/>
        </w:rPr>
        <w:t>decreased by 55</w:t>
      </w:r>
      <w:r w:rsidR="00B3224B">
        <w:rPr>
          <w:sz w:val="22"/>
        </w:rPr>
        <w:t xml:space="preserve"> </w:t>
      </w:r>
      <w:r w:rsidR="00865E9C" w:rsidRPr="00865E9C">
        <w:rPr>
          <w:sz w:val="22"/>
        </w:rPr>
        <w:t>between January and July</w:t>
      </w:r>
      <w:r w:rsidR="00E03EEA">
        <w:rPr>
          <w:sz w:val="22"/>
        </w:rPr>
        <w:t>. In contrast,</w:t>
      </w:r>
      <w:r w:rsidR="001D0EBB" w:rsidRPr="00865E9C">
        <w:rPr>
          <w:sz w:val="22"/>
        </w:rPr>
        <w:t xml:space="preserve"> </w:t>
      </w:r>
      <w:r w:rsidR="00865E9C" w:rsidRPr="00865E9C">
        <w:rPr>
          <w:i/>
          <w:sz w:val="22"/>
        </w:rPr>
        <w:t xml:space="preserve">food and beverage </w:t>
      </w:r>
      <w:r w:rsidR="00865E9C" w:rsidRPr="00865E9C">
        <w:rPr>
          <w:sz w:val="22"/>
        </w:rPr>
        <w:t xml:space="preserve">stores saw an increase of 53 job postings </w:t>
      </w:r>
      <w:r w:rsidR="006E62B8">
        <w:rPr>
          <w:sz w:val="22"/>
        </w:rPr>
        <w:t>over the same time period</w:t>
      </w:r>
      <w:r w:rsidR="00D66FDF">
        <w:rPr>
          <w:sz w:val="22"/>
        </w:rPr>
        <w:t>.</w:t>
      </w:r>
      <w:r w:rsidR="00E03EEA">
        <w:rPr>
          <w:sz w:val="22"/>
        </w:rPr>
        <w:t xml:space="preserve"> </w:t>
      </w:r>
    </w:p>
    <w:p w14:paraId="7F322FF0" w14:textId="78EDB870" w:rsidR="004E33B4" w:rsidRPr="0019264A" w:rsidRDefault="004E33B4" w:rsidP="00865E9C">
      <w:pPr>
        <w:spacing w:after="0" w:line="240" w:lineRule="auto"/>
        <w:rPr>
          <w:color w:val="2E74B5" w:themeColor="accent1" w:themeShade="BF"/>
          <w:sz w:val="22"/>
        </w:rPr>
      </w:pPr>
      <w:r w:rsidRPr="0019264A">
        <w:rPr>
          <w:color w:val="2E74B5" w:themeColor="accent1" w:themeShade="BF"/>
          <w:sz w:val="22"/>
        </w:rPr>
        <w:t>Table 3. Job Postings by month retail trade subsectors, January-July 2020, Niagara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140"/>
        <w:gridCol w:w="1980"/>
        <w:gridCol w:w="1980"/>
        <w:gridCol w:w="1260"/>
      </w:tblGrid>
      <w:tr w:rsidR="002523EC" w:rsidRPr="002523EC" w14:paraId="12D64EE5" w14:textId="77777777" w:rsidTr="00B95372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9B7" w14:textId="77777777" w:rsidR="00865E9C" w:rsidRPr="002523EC" w:rsidRDefault="00865E9C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41DAD88" w14:textId="6F22BC5B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Unique Online Postings, January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972243" w14:textId="22C701E5" w:rsidR="00865E9C" w:rsidRPr="002523EC" w:rsidRDefault="00865E9C" w:rsidP="00576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Unique Online Postings, </w:t>
            </w:r>
            <w:r w:rsidR="00576A02" w:rsidRPr="002523EC">
              <w:rPr>
                <w:rFonts w:eastAsia="Times New Roman" w:cs="Times New Roman"/>
                <w:sz w:val="20"/>
                <w:szCs w:val="20"/>
                <w:lang w:val="en-US"/>
              </w:rPr>
              <w:t>July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0A0E5F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Change</w:t>
            </w:r>
          </w:p>
        </w:tc>
      </w:tr>
      <w:tr w:rsidR="002523EC" w:rsidRPr="002523EC" w14:paraId="75879831" w14:textId="77777777" w:rsidTr="00B95372">
        <w:trPr>
          <w:trHeight w:val="6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9D6EC0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Clothing and clothing accessories stores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8123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6D5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8F48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-55</w:t>
            </w:r>
          </w:p>
        </w:tc>
      </w:tr>
      <w:tr w:rsidR="002523EC" w:rsidRPr="002523EC" w14:paraId="1A5B3BE1" w14:textId="77777777" w:rsidTr="00B95372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DE6843D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Furniture and home furnishings stores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C7D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29A5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5770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-8</w:t>
            </w:r>
          </w:p>
        </w:tc>
      </w:tr>
      <w:tr w:rsidR="002523EC" w:rsidRPr="002523EC" w14:paraId="25010EC9" w14:textId="77777777" w:rsidTr="00B95372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14F890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Building material and garden equipment and supplies dealers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6D46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02C6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58F1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-4</w:t>
            </w:r>
          </w:p>
        </w:tc>
      </w:tr>
      <w:tr w:rsidR="002523EC" w:rsidRPr="002523EC" w14:paraId="685E8661" w14:textId="77777777" w:rsidTr="00B95372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A10AD0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Gasoline stations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694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4D84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7AF3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23EC" w:rsidRPr="002523EC" w14:paraId="35AC146D" w14:textId="77777777" w:rsidTr="00B95372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D5629BB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Electronics and appliances stores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B364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F9B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43B4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523EC" w:rsidRPr="002523EC" w14:paraId="5F9E53DA" w14:textId="77777777" w:rsidTr="00B95372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9870BE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Health and personal care stores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603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FBC0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B57E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523EC" w:rsidRPr="002523EC" w14:paraId="7D00713F" w14:textId="77777777" w:rsidTr="00B95372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03AB0F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Motor vehicle and parts dealers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48A0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45D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8D23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523EC" w:rsidRPr="002523EC" w14:paraId="009649D6" w14:textId="77777777" w:rsidTr="00B95372">
        <w:trPr>
          <w:trHeight w:val="6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056FB5" w14:textId="77777777" w:rsidR="00865E9C" w:rsidRPr="002523EC" w:rsidRDefault="00865E9C" w:rsidP="0086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Food and beverage stores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2F0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CCC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ED01" w14:textId="77777777" w:rsidR="00865E9C" w:rsidRPr="002523EC" w:rsidRDefault="00865E9C" w:rsidP="00865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523EC">
              <w:rPr>
                <w:rFonts w:eastAsia="Times New Roman" w:cs="Times New Roman"/>
                <w:sz w:val="20"/>
                <w:szCs w:val="20"/>
                <w:lang w:val="en-US"/>
              </w:rPr>
              <w:t>53</w:t>
            </w:r>
          </w:p>
        </w:tc>
      </w:tr>
    </w:tbl>
    <w:p w14:paraId="5BDB113F" w14:textId="25D96354" w:rsidR="004E33B4" w:rsidRPr="004E33B4" w:rsidRDefault="004E33B4" w:rsidP="004E33B4">
      <w:pPr>
        <w:rPr>
          <w:color w:val="0070C0"/>
          <w:sz w:val="16"/>
          <w:szCs w:val="16"/>
        </w:rPr>
      </w:pPr>
      <w:r w:rsidRPr="0032189E">
        <w:rPr>
          <w:sz w:val="16"/>
          <w:szCs w:val="16"/>
        </w:rPr>
        <w:t>Source: </w:t>
      </w:r>
      <w:r>
        <w:rPr>
          <w:sz w:val="16"/>
          <w:szCs w:val="16"/>
        </w:rPr>
        <w:t>EMSI Analyst 2020.1 Unique Job Postings by Industry, 2020</w:t>
      </w:r>
    </w:p>
    <w:p w14:paraId="579E89B6" w14:textId="6C95689B" w:rsidR="00073160" w:rsidRPr="0058747A" w:rsidRDefault="0058747A" w:rsidP="4CDAB398">
      <w:pPr>
        <w:rPr>
          <w:sz w:val="22"/>
        </w:rPr>
      </w:pPr>
      <w:r w:rsidRPr="4CDAB398">
        <w:rPr>
          <w:sz w:val="22"/>
        </w:rPr>
        <w:t>As this project progresses</w:t>
      </w:r>
      <w:r w:rsidR="6F92FFF1" w:rsidRPr="4CDAB398">
        <w:rPr>
          <w:sz w:val="22"/>
        </w:rPr>
        <w:t>,</w:t>
      </w:r>
      <w:r w:rsidRPr="4CDAB398">
        <w:rPr>
          <w:sz w:val="22"/>
        </w:rPr>
        <w:t xml:space="preserve"> we will be closely monitoring the </w:t>
      </w:r>
      <w:r w:rsidR="00913B63" w:rsidRPr="4CDAB398">
        <w:rPr>
          <w:sz w:val="22"/>
        </w:rPr>
        <w:t>changes in</w:t>
      </w:r>
      <w:r w:rsidRPr="4CDAB398">
        <w:rPr>
          <w:sz w:val="22"/>
        </w:rPr>
        <w:t xml:space="preserve"> retail trade employment in relation to COVID-19. As noted above, July 2020 saw a slight increase (200 people) in the number of people employed in wholesale and retail trade compared to June</w:t>
      </w:r>
      <w:r w:rsidR="00ED0439" w:rsidRPr="4CDAB398">
        <w:rPr>
          <w:sz w:val="22"/>
        </w:rPr>
        <w:t>, t</w:t>
      </w:r>
      <w:r w:rsidRPr="4CDAB398">
        <w:rPr>
          <w:sz w:val="22"/>
        </w:rPr>
        <w:t>hough this number is still significantly lower than the employ</w:t>
      </w:r>
      <w:r w:rsidR="00ED0439" w:rsidRPr="4CDAB398">
        <w:rPr>
          <w:sz w:val="22"/>
        </w:rPr>
        <w:t xml:space="preserve">ment numbers from February. </w:t>
      </w:r>
      <w:r w:rsidR="006E62B8" w:rsidRPr="4CDAB398">
        <w:rPr>
          <w:sz w:val="22"/>
        </w:rPr>
        <w:t>At the same time</w:t>
      </w:r>
      <w:r w:rsidR="00ED0439" w:rsidRPr="4CDAB398">
        <w:rPr>
          <w:sz w:val="22"/>
        </w:rPr>
        <w:t>, online job postings</w:t>
      </w:r>
      <w:r w:rsidR="005B5B25" w:rsidRPr="4CDAB398">
        <w:rPr>
          <w:sz w:val="22"/>
        </w:rPr>
        <w:t xml:space="preserve"> for positions in retail trade</w:t>
      </w:r>
      <w:r w:rsidR="00ED0439" w:rsidRPr="4CDAB398">
        <w:rPr>
          <w:sz w:val="22"/>
        </w:rPr>
        <w:t xml:space="preserve"> have already rebounded to their pre-pandemi</w:t>
      </w:r>
      <w:bookmarkStart w:id="1" w:name="_GoBack"/>
      <w:bookmarkEnd w:id="1"/>
      <w:r w:rsidR="00ED0439" w:rsidRPr="4CDAB398">
        <w:rPr>
          <w:sz w:val="22"/>
        </w:rPr>
        <w:t>c levels, with July seeing 50 more unique job postings compared to February</w:t>
      </w:r>
      <w:r w:rsidR="00E77DF3" w:rsidRPr="4CDAB398">
        <w:rPr>
          <w:sz w:val="22"/>
        </w:rPr>
        <w:t xml:space="preserve"> 2020</w:t>
      </w:r>
      <w:r w:rsidR="00ED0439" w:rsidRPr="4CDAB398">
        <w:rPr>
          <w:sz w:val="22"/>
        </w:rPr>
        <w:t xml:space="preserve">. </w:t>
      </w:r>
      <w:r w:rsidR="006E62B8" w:rsidRPr="4CDAB398">
        <w:rPr>
          <w:sz w:val="22"/>
        </w:rPr>
        <w:t>However</w:t>
      </w:r>
      <w:r w:rsidR="005B5B25" w:rsidRPr="4CDAB398">
        <w:rPr>
          <w:sz w:val="22"/>
        </w:rPr>
        <w:t>,</w:t>
      </w:r>
      <w:r w:rsidR="006E62B8" w:rsidRPr="4CDAB398">
        <w:rPr>
          <w:sz w:val="22"/>
        </w:rPr>
        <w:t xml:space="preserve"> these postings have not been equally distributed among retail trade</w:t>
      </w:r>
      <w:r w:rsidR="00E77DF3" w:rsidRPr="4CDAB398">
        <w:rPr>
          <w:sz w:val="22"/>
        </w:rPr>
        <w:t xml:space="preserve"> subsectors</w:t>
      </w:r>
      <w:r w:rsidR="006E62B8" w:rsidRPr="4CDAB398">
        <w:rPr>
          <w:sz w:val="22"/>
        </w:rPr>
        <w:t xml:space="preserve">. </w:t>
      </w:r>
      <w:r w:rsidR="00E77DF3" w:rsidRPr="4CDAB398">
        <w:rPr>
          <w:sz w:val="22"/>
        </w:rPr>
        <w:t>W</w:t>
      </w:r>
      <w:r w:rsidRPr="4CDAB398">
        <w:rPr>
          <w:sz w:val="22"/>
        </w:rPr>
        <w:t xml:space="preserve">e will </w:t>
      </w:r>
      <w:r w:rsidR="00ED0439" w:rsidRPr="4CDAB398">
        <w:rPr>
          <w:sz w:val="22"/>
        </w:rPr>
        <w:t>continue</w:t>
      </w:r>
      <w:r w:rsidRPr="4CDAB398">
        <w:rPr>
          <w:sz w:val="22"/>
        </w:rPr>
        <w:t xml:space="preserve"> monitoring employment and job posting trends to better understand whether </w:t>
      </w:r>
      <w:r w:rsidR="005B5B25" w:rsidRPr="4CDAB398">
        <w:rPr>
          <w:sz w:val="22"/>
        </w:rPr>
        <w:t xml:space="preserve">these trends continue throughout the duration of the pandemic. </w:t>
      </w:r>
    </w:p>
    <w:sectPr w:rsidR="00073160" w:rsidRPr="0058747A" w:rsidSect="006F790D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76C205" w16cex:dateUtc="2020-09-28T20:01:13.945Z"/>
  <w16cex:commentExtensible w16cex:durableId="587C7CE9" w16cex:dateUtc="2020-09-28T20:09:51.566Z"/>
  <w16cex:commentExtensible w16cex:durableId="52E66529" w16cex:dateUtc="2020-09-28T20:10:34.798Z"/>
  <w16cex:commentExtensible w16cex:durableId="492BBA15" w16cex:dateUtc="2020-09-28T20:11:36.5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D0B064" w16cid:durableId="6D76C205"/>
  <w16cid:commentId w16cid:paraId="00ACB249" w16cid:durableId="587C7CE9"/>
  <w16cid:commentId w16cid:paraId="52CF39B9" w16cid:durableId="52E66529"/>
  <w16cid:commentId w16cid:paraId="58CA5188" w16cid:durableId="492BBA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61DD" w14:textId="77777777" w:rsidR="002D1160" w:rsidRDefault="002D1160" w:rsidP="00C06C25">
      <w:pPr>
        <w:spacing w:after="0" w:line="240" w:lineRule="auto"/>
      </w:pPr>
      <w:r>
        <w:separator/>
      </w:r>
    </w:p>
  </w:endnote>
  <w:endnote w:type="continuationSeparator" w:id="0">
    <w:p w14:paraId="0F82D1C6" w14:textId="77777777" w:rsidR="002D1160" w:rsidRDefault="002D1160" w:rsidP="00C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713C3" w14:textId="77777777" w:rsidR="002D1160" w:rsidRDefault="002D1160" w:rsidP="00C06C25">
      <w:pPr>
        <w:spacing w:after="0" w:line="240" w:lineRule="auto"/>
      </w:pPr>
      <w:r>
        <w:separator/>
      </w:r>
    </w:p>
  </w:footnote>
  <w:footnote w:type="continuationSeparator" w:id="0">
    <w:p w14:paraId="1130A05A" w14:textId="77777777" w:rsidR="002D1160" w:rsidRDefault="002D1160" w:rsidP="00C06C25">
      <w:pPr>
        <w:spacing w:after="0" w:line="240" w:lineRule="auto"/>
      </w:pPr>
      <w:r>
        <w:continuationSeparator/>
      </w:r>
    </w:p>
  </w:footnote>
  <w:footnote w:id="1">
    <w:p w14:paraId="6894BED8" w14:textId="2DD3C5BA" w:rsidR="006F790D" w:rsidRPr="00582EC3" w:rsidRDefault="006F790D">
      <w:pPr>
        <w:pStyle w:val="FootnoteText"/>
        <w:rPr>
          <w:lang w:val="en-US"/>
        </w:rPr>
      </w:pPr>
      <w:r w:rsidRPr="00582EC3">
        <w:rPr>
          <w:rStyle w:val="FootnoteReference"/>
          <w:sz w:val="16"/>
          <w:szCs w:val="16"/>
        </w:rPr>
        <w:footnoteRef/>
      </w:r>
      <w:r w:rsidRPr="00582EC3">
        <w:rPr>
          <w:sz w:val="16"/>
          <w:szCs w:val="16"/>
        </w:rPr>
        <w:t xml:space="preserve"> Data representing only the </w:t>
      </w:r>
      <w:r w:rsidRPr="00582EC3">
        <w:rPr>
          <w:i/>
          <w:sz w:val="16"/>
          <w:szCs w:val="16"/>
        </w:rPr>
        <w:t xml:space="preserve">retail trade </w:t>
      </w:r>
      <w:r w:rsidRPr="00582EC3">
        <w:rPr>
          <w:sz w:val="16"/>
          <w:szCs w:val="16"/>
        </w:rPr>
        <w:t xml:space="preserve">industry is </w:t>
      </w:r>
      <w:r w:rsidR="00EC06D5">
        <w:rPr>
          <w:sz w:val="16"/>
          <w:szCs w:val="16"/>
        </w:rPr>
        <w:t>only</w:t>
      </w:r>
      <w:r w:rsidRPr="00582EC3">
        <w:rPr>
          <w:sz w:val="16"/>
          <w:szCs w:val="16"/>
        </w:rPr>
        <w:t xml:space="preserve"> available at </w:t>
      </w:r>
      <w:r w:rsidR="00EC06D5" w:rsidRPr="00EC06D5">
        <w:rPr>
          <w:sz w:val="16"/>
          <w:szCs w:val="16"/>
        </w:rPr>
        <w:t xml:space="preserve">a </w:t>
      </w:r>
      <w:r w:rsidR="00EC06D5">
        <w:rPr>
          <w:sz w:val="16"/>
          <w:szCs w:val="16"/>
        </w:rPr>
        <w:t>provincial</w:t>
      </w:r>
      <w:r w:rsidR="00EC06D5" w:rsidRPr="00EC06D5">
        <w:rPr>
          <w:sz w:val="16"/>
          <w:szCs w:val="16"/>
        </w:rPr>
        <w:t xml:space="preserve"> level, so </w:t>
      </w:r>
      <w:r w:rsidR="00EC06D5">
        <w:rPr>
          <w:sz w:val="16"/>
          <w:szCs w:val="16"/>
        </w:rPr>
        <w:t>to capture the local data</w:t>
      </w:r>
      <w:r w:rsidR="00EC06D5" w:rsidRPr="00EC06D5">
        <w:rPr>
          <w:sz w:val="16"/>
          <w:szCs w:val="16"/>
        </w:rPr>
        <w:t xml:space="preserve"> we </w:t>
      </w:r>
      <w:r w:rsidRPr="00582EC3">
        <w:rPr>
          <w:sz w:val="16"/>
          <w:szCs w:val="16"/>
        </w:rPr>
        <w:t xml:space="preserve">rely on </w:t>
      </w:r>
      <w:r w:rsidR="00EC06D5">
        <w:rPr>
          <w:sz w:val="16"/>
          <w:szCs w:val="16"/>
        </w:rPr>
        <w:t>statistics</w:t>
      </w:r>
      <w:r w:rsidRPr="00582EC3">
        <w:rPr>
          <w:sz w:val="16"/>
          <w:szCs w:val="16"/>
        </w:rPr>
        <w:t xml:space="preserve"> from both industries taken together.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5"/>
    <w:rsid w:val="00060902"/>
    <w:rsid w:val="00103D2A"/>
    <w:rsid w:val="00155F20"/>
    <w:rsid w:val="00161D05"/>
    <w:rsid w:val="00182662"/>
    <w:rsid w:val="0019264A"/>
    <w:rsid w:val="001A20F1"/>
    <w:rsid w:val="001C3683"/>
    <w:rsid w:val="001D0EBB"/>
    <w:rsid w:val="001D46B2"/>
    <w:rsid w:val="001E561F"/>
    <w:rsid w:val="002523EC"/>
    <w:rsid w:val="00257566"/>
    <w:rsid w:val="00283850"/>
    <w:rsid w:val="002930A0"/>
    <w:rsid w:val="002D1160"/>
    <w:rsid w:val="0031723D"/>
    <w:rsid w:val="00325190"/>
    <w:rsid w:val="003359C4"/>
    <w:rsid w:val="00344AB1"/>
    <w:rsid w:val="00346B22"/>
    <w:rsid w:val="003830AE"/>
    <w:rsid w:val="003F1611"/>
    <w:rsid w:val="00403C62"/>
    <w:rsid w:val="00414A4E"/>
    <w:rsid w:val="00426DB1"/>
    <w:rsid w:val="004457D3"/>
    <w:rsid w:val="004B27F4"/>
    <w:rsid w:val="004E33B4"/>
    <w:rsid w:val="004E3E81"/>
    <w:rsid w:val="004F23B4"/>
    <w:rsid w:val="00506554"/>
    <w:rsid w:val="00576A02"/>
    <w:rsid w:val="00582EC3"/>
    <w:rsid w:val="0058747A"/>
    <w:rsid w:val="00595BFC"/>
    <w:rsid w:val="005B5B25"/>
    <w:rsid w:val="005E719D"/>
    <w:rsid w:val="005F67E5"/>
    <w:rsid w:val="0066641F"/>
    <w:rsid w:val="006E62B8"/>
    <w:rsid w:val="006F790D"/>
    <w:rsid w:val="0072408C"/>
    <w:rsid w:val="00737C34"/>
    <w:rsid w:val="007E5F4A"/>
    <w:rsid w:val="00812878"/>
    <w:rsid w:val="00865E9C"/>
    <w:rsid w:val="0087054C"/>
    <w:rsid w:val="00884C57"/>
    <w:rsid w:val="008D4A7E"/>
    <w:rsid w:val="008F546A"/>
    <w:rsid w:val="00913B63"/>
    <w:rsid w:val="00941648"/>
    <w:rsid w:val="00985319"/>
    <w:rsid w:val="00996471"/>
    <w:rsid w:val="00A405D7"/>
    <w:rsid w:val="00A407EC"/>
    <w:rsid w:val="00A636A1"/>
    <w:rsid w:val="00A70D8C"/>
    <w:rsid w:val="00AB570D"/>
    <w:rsid w:val="00B3224B"/>
    <w:rsid w:val="00B419BB"/>
    <w:rsid w:val="00B63ADA"/>
    <w:rsid w:val="00B95372"/>
    <w:rsid w:val="00BA38E2"/>
    <w:rsid w:val="00BE197B"/>
    <w:rsid w:val="00C06C25"/>
    <w:rsid w:val="00C21106"/>
    <w:rsid w:val="00C25339"/>
    <w:rsid w:val="00C34FEA"/>
    <w:rsid w:val="00C708A5"/>
    <w:rsid w:val="00C71BD1"/>
    <w:rsid w:val="00CC4B3D"/>
    <w:rsid w:val="00CE579F"/>
    <w:rsid w:val="00D63B19"/>
    <w:rsid w:val="00D66FDF"/>
    <w:rsid w:val="00D911C7"/>
    <w:rsid w:val="00DD309A"/>
    <w:rsid w:val="00E03EEA"/>
    <w:rsid w:val="00E16EEE"/>
    <w:rsid w:val="00E77DF3"/>
    <w:rsid w:val="00EC06D5"/>
    <w:rsid w:val="00EC4792"/>
    <w:rsid w:val="00ED0439"/>
    <w:rsid w:val="00ED4961"/>
    <w:rsid w:val="00EF25FF"/>
    <w:rsid w:val="00F84863"/>
    <w:rsid w:val="00FA0ACB"/>
    <w:rsid w:val="00FB7FBA"/>
    <w:rsid w:val="00FC47BC"/>
    <w:rsid w:val="00FD0E7C"/>
    <w:rsid w:val="00FF49AF"/>
    <w:rsid w:val="033AEE1D"/>
    <w:rsid w:val="0492B6BB"/>
    <w:rsid w:val="0A59713E"/>
    <w:rsid w:val="22764B14"/>
    <w:rsid w:val="248DCA20"/>
    <w:rsid w:val="27394EE4"/>
    <w:rsid w:val="2EB52C05"/>
    <w:rsid w:val="2F76B342"/>
    <w:rsid w:val="32AA3525"/>
    <w:rsid w:val="3817924D"/>
    <w:rsid w:val="46A7C324"/>
    <w:rsid w:val="4B811D38"/>
    <w:rsid w:val="4CDAB398"/>
    <w:rsid w:val="4F99817D"/>
    <w:rsid w:val="5298B083"/>
    <w:rsid w:val="5B5BFC53"/>
    <w:rsid w:val="5CE8D3C2"/>
    <w:rsid w:val="5DB35F25"/>
    <w:rsid w:val="6293CBB2"/>
    <w:rsid w:val="64BA4715"/>
    <w:rsid w:val="6AC17C5B"/>
    <w:rsid w:val="6F92FFF1"/>
    <w:rsid w:val="70AFEF7F"/>
    <w:rsid w:val="7834B7E3"/>
    <w:rsid w:val="7A4C50E4"/>
    <w:rsid w:val="7ABF8F2A"/>
    <w:rsid w:val="7BE73074"/>
    <w:rsid w:val="7E0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4F69"/>
  <w15:chartTrackingRefBased/>
  <w15:docId w15:val="{545FB39E-3BC9-45B8-9576-6034CC5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25"/>
    <w:pPr>
      <w:spacing w:line="256" w:lineRule="auto"/>
    </w:pPr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C25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C06C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C2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06C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25"/>
    <w:rPr>
      <w:rFonts w:ascii="Segoe UI" w:hAnsi="Segoe UI" w:cs="Segoe UI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55F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B7F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2B8"/>
    <w:rPr>
      <w:b/>
      <w:bCs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3359C4"/>
  </w:style>
  <w:style w:type="character" w:customStyle="1" w:styleId="eop">
    <w:name w:val="eop"/>
    <w:basedOn w:val="DefaultParagraphFont"/>
    <w:rsid w:val="0033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ea47225f111a4c72" Type="http://schemas.microsoft.com/office/2016/09/relationships/commentsIds" Target="commentsIds.xml"/><Relationship Id="R1b902cdd9e34416f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Sheet1!$D$3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Sheet1!$C$4:$C$10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</c:strCache>
            </c:strRef>
          </c:cat>
          <c:val>
            <c:numRef>
              <c:f>Sheet1!$D$4:$D$10</c:f>
              <c:numCache>
                <c:formatCode>#,##0</c:formatCode>
                <c:ptCount val="7"/>
                <c:pt idx="0">
                  <c:v>33300</c:v>
                </c:pt>
                <c:pt idx="1">
                  <c:v>32100</c:v>
                </c:pt>
                <c:pt idx="2">
                  <c:v>29800</c:v>
                </c:pt>
                <c:pt idx="3">
                  <c:v>28700</c:v>
                </c:pt>
                <c:pt idx="4">
                  <c:v>29700</c:v>
                </c:pt>
                <c:pt idx="5">
                  <c:v>30600</c:v>
                </c:pt>
                <c:pt idx="6">
                  <c:v>31800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Sheet1!$F$3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Sheet1!$C$4:$C$10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</c:strCache>
            </c:strRef>
          </c:cat>
          <c:val>
            <c:numRef>
              <c:f>Sheet1!$F$4:$F$10</c:f>
              <c:numCache>
                <c:formatCode>#,##0</c:formatCode>
                <c:ptCount val="7"/>
                <c:pt idx="0">
                  <c:v>32100</c:v>
                </c:pt>
                <c:pt idx="1">
                  <c:v>32300</c:v>
                </c:pt>
                <c:pt idx="2">
                  <c:v>29700</c:v>
                </c:pt>
                <c:pt idx="3">
                  <c:v>27900</c:v>
                </c:pt>
                <c:pt idx="4">
                  <c:v>25600</c:v>
                </c:pt>
                <c:pt idx="5">
                  <c:v>24900</c:v>
                </c:pt>
                <c:pt idx="6">
                  <c:v>25100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194384"/>
        <c:axId val="235191640"/>
      </c:lineChart>
      <c:catAx>
        <c:axId val="23519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35191640"/>
        <c:crosses val="autoZero"/>
        <c:auto val="1"/>
        <c:lblAlgn val="ctr"/>
        <c:lblOffset val="100"/>
        <c:noMultiLvlLbl val="0"/>
      </c:catAx>
      <c:valAx>
        <c:axId val="235191640"/>
        <c:scaling>
          <c:orientation val="minMax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3519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333333333333333E-2"/>
                  <c:y val="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666666666666664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111111111111112E-2"/>
                  <c:y val="5.09259259259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6666666666666566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</c:strCache>
            </c:strRef>
          </c:cat>
          <c:val>
            <c:numRef>
              <c:f>Sheet1!$B$3:$B$9</c:f>
              <c:numCache>
                <c:formatCode>#,##0;[Red]\ \(#,##0\)</c:formatCode>
                <c:ptCount val="7"/>
                <c:pt idx="0">
                  <c:v>1246</c:v>
                </c:pt>
                <c:pt idx="1">
                  <c:v>1190</c:v>
                </c:pt>
                <c:pt idx="2">
                  <c:v>1176</c:v>
                </c:pt>
                <c:pt idx="3">
                  <c:v>956</c:v>
                </c:pt>
                <c:pt idx="4">
                  <c:v>1017</c:v>
                </c:pt>
                <c:pt idx="5">
                  <c:v>1078</c:v>
                </c:pt>
                <c:pt idx="6">
                  <c:v>1240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194776"/>
        <c:axId val="235193208"/>
      </c:lineChart>
      <c:catAx>
        <c:axId val="235194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35193208"/>
        <c:crosses val="autoZero"/>
        <c:auto val="1"/>
        <c:lblAlgn val="ctr"/>
        <c:lblOffset val="100"/>
        <c:noMultiLvlLbl val="0"/>
      </c:catAx>
      <c:valAx>
        <c:axId val="235193208"/>
        <c:scaling>
          <c:orientation val="minMax"/>
          <c:max val="1400"/>
          <c:min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\ \(#,##0\)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35194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CBD638C5D08488C3A69F20F38F032" ma:contentTypeVersion="4" ma:contentTypeDescription="Create a new document." ma:contentTypeScope="" ma:versionID="79962fb92896ca6a470a47a77a2477ef">
  <xsd:schema xmlns:xsd="http://www.w3.org/2001/XMLSchema" xmlns:xs="http://www.w3.org/2001/XMLSchema" xmlns:p="http://schemas.microsoft.com/office/2006/metadata/properties" xmlns:ns2="6ef78ea4-0b3a-4546-a13f-07d5c654a319" targetNamespace="http://schemas.microsoft.com/office/2006/metadata/properties" ma:root="true" ma:fieldsID="51117ddec1749c14edea7e674427b554" ns2:_="">
    <xsd:import namespace="6ef78ea4-0b3a-4546-a13f-07d5c654a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8ea4-0b3a-4546-a13f-07d5c654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3792-E9E7-49FD-A9EA-A141241C1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FB00A-1919-44C7-8D8B-A34B0AE52D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ef78ea4-0b3a-4546-a13f-07d5c654a31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3E3D76-02F7-40BE-A73B-1941FBD0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8ea4-0b3a-4546-a13f-07d5c654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6F529-B7E9-4B3B-AC7F-F3C79640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McPhillips</dc:creator>
  <cp:keywords/>
  <dc:description/>
  <cp:lastModifiedBy>Thalia Semplonius</cp:lastModifiedBy>
  <cp:revision>19</cp:revision>
  <dcterms:created xsi:type="dcterms:W3CDTF">2020-10-05T19:13:00Z</dcterms:created>
  <dcterms:modified xsi:type="dcterms:W3CDTF">2020-10-05T19:58:00Z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0x01010022BCBD638C5D08488C3A69F20F38F032</vt:lpwstr>
  </property>
</Properties>
</file>