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F9498" w14:textId="6F9C48D0" w:rsidR="00DA44E7" w:rsidRDefault="006A694A" w:rsidP="006A694A">
      <w:pPr>
        <w:pStyle w:val="Heading1"/>
        <w:spacing w:before="0" w:after="160" w:line="257" w:lineRule="auto"/>
        <w:jc w:val="center"/>
      </w:pPr>
      <w:bookmarkStart w:id="0" w:name="_Toc47601883"/>
      <w:r>
        <w:t xml:space="preserve">The Demographics of </w:t>
      </w:r>
      <w:r w:rsidR="008910CA">
        <w:t>Individuals</w:t>
      </w:r>
      <w:r w:rsidR="00C7755A">
        <w:t xml:space="preserve"> Working </w:t>
      </w:r>
      <w:r w:rsidR="00DA44E7">
        <w:t>in Retail Trade</w:t>
      </w:r>
      <w:bookmarkEnd w:id="0"/>
    </w:p>
    <w:p w14:paraId="78E686C5" w14:textId="22809283" w:rsidR="00317807" w:rsidRDefault="006A694A" w:rsidP="1F675BCD">
      <w:pPr>
        <w:rPr>
          <w:sz w:val="22"/>
          <w:lang w:val="en-US"/>
        </w:rPr>
      </w:pPr>
      <w:r w:rsidRPr="1F675BCD">
        <w:rPr>
          <w:sz w:val="22"/>
        </w:rPr>
        <w:t xml:space="preserve">This briefing note </w:t>
      </w:r>
      <w:r w:rsidR="00E23966" w:rsidRPr="1F675BCD">
        <w:rPr>
          <w:sz w:val="22"/>
        </w:rPr>
        <w:t xml:space="preserve">is </w:t>
      </w:r>
      <w:r w:rsidR="16043BE8" w:rsidRPr="1F675BCD">
        <w:rPr>
          <w:sz w:val="22"/>
        </w:rPr>
        <w:t xml:space="preserve">part </w:t>
      </w:r>
      <w:r w:rsidR="00E23966" w:rsidRPr="1F675BCD">
        <w:rPr>
          <w:sz w:val="22"/>
        </w:rPr>
        <w:t xml:space="preserve">of a series on COVID-19 and its impact on the retail trade sector. </w:t>
      </w:r>
      <w:r w:rsidR="6784A6A1" w:rsidRPr="1F675BCD">
        <w:rPr>
          <w:sz w:val="22"/>
        </w:rPr>
        <w:t>This note provides an outline on characteristics of the retail trade workforce and the predomi</w:t>
      </w:r>
      <w:r w:rsidR="7DC7FEC5" w:rsidRPr="1F675BCD">
        <w:rPr>
          <w:sz w:val="22"/>
        </w:rPr>
        <w:t>nant jobs in N</w:t>
      </w:r>
      <w:r w:rsidR="6784A6A1" w:rsidRPr="1F675BCD">
        <w:rPr>
          <w:sz w:val="22"/>
        </w:rPr>
        <w:t xml:space="preserve">iagara’s retail sector. </w:t>
      </w:r>
      <w:r w:rsidR="00C7755A" w:rsidRPr="1F675BCD">
        <w:rPr>
          <w:sz w:val="22"/>
          <w:lang w:val="en-US"/>
        </w:rPr>
        <w:t xml:space="preserve">Other briefing notes in this series focus on retail trade employers, the link between retail trade in Niagara and the tourism sector, </w:t>
      </w:r>
      <w:r w:rsidR="001D7B7D" w:rsidRPr="1F675BCD">
        <w:rPr>
          <w:sz w:val="22"/>
          <w:lang w:val="en-US"/>
        </w:rPr>
        <w:t>COVID-19 impacts on employment in retail, and</w:t>
      </w:r>
      <w:r w:rsidR="00C7755A" w:rsidRPr="1F675BCD">
        <w:rPr>
          <w:sz w:val="22"/>
          <w:lang w:val="en-US"/>
        </w:rPr>
        <w:t xml:space="preserve"> </w:t>
      </w:r>
      <w:r w:rsidR="001D7B7D" w:rsidRPr="1F675BCD">
        <w:rPr>
          <w:sz w:val="22"/>
          <w:lang w:val="en-US"/>
        </w:rPr>
        <w:t>insights on what a</w:t>
      </w:r>
      <w:r w:rsidR="00C7755A" w:rsidRPr="1F675BCD">
        <w:rPr>
          <w:sz w:val="22"/>
          <w:lang w:val="en-US"/>
        </w:rPr>
        <w:t xml:space="preserve"> post-pandemic reality might take for Niagara’s retail trade sector. </w:t>
      </w:r>
    </w:p>
    <w:p w14:paraId="398179C7" w14:textId="53553448" w:rsidR="00604EDF" w:rsidRDefault="00604EDF" w:rsidP="00604EDF">
      <w:pPr>
        <w:pStyle w:val="Heading2"/>
      </w:pPr>
      <w:r>
        <w:t>Demographic Data</w:t>
      </w:r>
    </w:p>
    <w:p w14:paraId="5F332FCA" w14:textId="1009BA89" w:rsidR="00DA44E7" w:rsidRPr="00E32053" w:rsidRDefault="003A0D02" w:rsidP="53EE565F">
      <w:pPr>
        <w:rPr>
          <w:sz w:val="22"/>
        </w:rPr>
      </w:pPr>
      <w:r w:rsidRPr="53EE565F">
        <w:rPr>
          <w:sz w:val="22"/>
        </w:rPr>
        <w:t xml:space="preserve">Much of the data available on characteristics of </w:t>
      </w:r>
      <w:r w:rsidR="4C8C9AFF" w:rsidRPr="53EE565F">
        <w:rPr>
          <w:sz w:val="22"/>
        </w:rPr>
        <w:t>Niagara’s</w:t>
      </w:r>
      <w:r w:rsidRPr="53EE565F">
        <w:rPr>
          <w:sz w:val="22"/>
        </w:rPr>
        <w:t xml:space="preserve"> </w:t>
      </w:r>
      <w:r w:rsidR="0E19078D" w:rsidRPr="53EE565F">
        <w:rPr>
          <w:sz w:val="22"/>
        </w:rPr>
        <w:t xml:space="preserve">resident </w:t>
      </w:r>
      <w:r w:rsidRPr="53EE565F">
        <w:rPr>
          <w:sz w:val="22"/>
        </w:rPr>
        <w:t>retail workforce come from</w:t>
      </w:r>
      <w:r w:rsidR="00DA44E7" w:rsidRPr="53EE565F">
        <w:rPr>
          <w:sz w:val="22"/>
        </w:rPr>
        <w:t xml:space="preserve"> the 2016 census</w:t>
      </w:r>
      <w:r w:rsidR="00522C3A" w:rsidRPr="53EE565F">
        <w:rPr>
          <w:rStyle w:val="FootnoteReference"/>
          <w:sz w:val="22"/>
        </w:rPr>
        <w:footnoteReference w:id="1"/>
      </w:r>
      <w:r w:rsidRPr="53EE565F">
        <w:rPr>
          <w:sz w:val="22"/>
        </w:rPr>
        <w:t xml:space="preserve">. </w:t>
      </w:r>
      <w:r w:rsidR="002E6B46" w:rsidRPr="53EE565F">
        <w:rPr>
          <w:sz w:val="22"/>
        </w:rPr>
        <w:t>According to these data, there were approximately 26,010</w:t>
      </w:r>
      <w:r w:rsidR="00DA44E7" w:rsidRPr="53EE565F">
        <w:rPr>
          <w:sz w:val="22"/>
        </w:rPr>
        <w:t xml:space="preserve"> Niagara residents reporting employment in </w:t>
      </w:r>
      <w:r w:rsidR="002E6B46" w:rsidRPr="53EE565F">
        <w:rPr>
          <w:sz w:val="22"/>
        </w:rPr>
        <w:t xml:space="preserve">the </w:t>
      </w:r>
      <w:r w:rsidR="00DA44E7" w:rsidRPr="53EE565F">
        <w:rPr>
          <w:sz w:val="22"/>
        </w:rPr>
        <w:t>retail trade</w:t>
      </w:r>
      <w:r w:rsidR="002E6B46" w:rsidRPr="53EE565F">
        <w:rPr>
          <w:sz w:val="22"/>
        </w:rPr>
        <w:t xml:space="preserve"> indu</w:t>
      </w:r>
      <w:r w:rsidR="00DA44E7" w:rsidRPr="53EE565F">
        <w:rPr>
          <w:sz w:val="22"/>
        </w:rPr>
        <w:t>s</w:t>
      </w:r>
      <w:r w:rsidR="002E6B46" w:rsidRPr="53EE565F">
        <w:rPr>
          <w:sz w:val="22"/>
        </w:rPr>
        <w:t xml:space="preserve">try; this </w:t>
      </w:r>
      <w:r w:rsidR="00E61DB0" w:rsidRPr="53EE565F">
        <w:rPr>
          <w:sz w:val="22"/>
        </w:rPr>
        <w:t>was</w:t>
      </w:r>
      <w:r w:rsidR="002E6B46" w:rsidRPr="53EE565F">
        <w:rPr>
          <w:sz w:val="22"/>
        </w:rPr>
        <w:t xml:space="preserve"> approximately 12.4% of</w:t>
      </w:r>
      <w:r w:rsidR="31AD93C0" w:rsidRPr="53EE565F">
        <w:rPr>
          <w:sz w:val="22"/>
        </w:rPr>
        <w:t xml:space="preserve"> employment </w:t>
      </w:r>
      <w:r w:rsidR="600B89AC" w:rsidRPr="53EE565F">
        <w:rPr>
          <w:sz w:val="22"/>
        </w:rPr>
        <w:t>among</w:t>
      </w:r>
      <w:r w:rsidR="31AD93C0" w:rsidRPr="53EE565F">
        <w:rPr>
          <w:sz w:val="22"/>
        </w:rPr>
        <w:t xml:space="preserve"> all Niagara residents</w:t>
      </w:r>
      <w:r w:rsidR="002E6B46" w:rsidRPr="53EE565F">
        <w:rPr>
          <w:sz w:val="22"/>
        </w:rPr>
        <w:t>.</w:t>
      </w:r>
      <w:r w:rsidR="00DA44E7" w:rsidRPr="53EE565F">
        <w:rPr>
          <w:sz w:val="22"/>
        </w:rPr>
        <w:t xml:space="preserve"> Compared to </w:t>
      </w:r>
      <w:r w:rsidR="19335760" w:rsidRPr="53EE565F">
        <w:rPr>
          <w:sz w:val="22"/>
        </w:rPr>
        <w:t>other industry sectors</w:t>
      </w:r>
      <w:r w:rsidR="00DA44E7" w:rsidRPr="53EE565F">
        <w:rPr>
          <w:sz w:val="22"/>
        </w:rPr>
        <w:t>, retail trade sector relie</w:t>
      </w:r>
      <w:r w:rsidR="3265FA39" w:rsidRPr="53EE565F">
        <w:rPr>
          <w:sz w:val="22"/>
        </w:rPr>
        <w:t>d</w:t>
      </w:r>
      <w:r w:rsidR="00DA44E7" w:rsidRPr="53EE565F">
        <w:rPr>
          <w:sz w:val="22"/>
        </w:rPr>
        <w:t xml:space="preserve"> more heavily on </w:t>
      </w:r>
      <w:r w:rsidR="3ADBF1E4" w:rsidRPr="53EE565F">
        <w:rPr>
          <w:sz w:val="22"/>
        </w:rPr>
        <w:t>a youth workforce</w:t>
      </w:r>
      <w:r w:rsidR="00DA44E7" w:rsidRPr="53EE565F">
        <w:rPr>
          <w:sz w:val="22"/>
        </w:rPr>
        <w:t xml:space="preserve">. </w:t>
      </w:r>
      <w:r w:rsidR="00FB4BE1" w:rsidRPr="53EE565F">
        <w:rPr>
          <w:sz w:val="22"/>
        </w:rPr>
        <w:t xml:space="preserve">Specifically, 24.2% of people </w:t>
      </w:r>
      <w:r w:rsidR="3EA197D1" w:rsidRPr="1F675BCD">
        <w:rPr>
          <w:sz w:val="22"/>
        </w:rPr>
        <w:t xml:space="preserve">who worked </w:t>
      </w:r>
      <w:r w:rsidR="00FB4BE1" w:rsidRPr="53EE565F">
        <w:rPr>
          <w:sz w:val="22"/>
        </w:rPr>
        <w:t xml:space="preserve">in retail trade </w:t>
      </w:r>
      <w:r w:rsidR="09AC2504" w:rsidRPr="1F675BCD">
        <w:rPr>
          <w:sz w:val="22"/>
        </w:rPr>
        <w:t>were aged 15 to 24</w:t>
      </w:r>
      <w:r w:rsidR="00772B05">
        <w:rPr>
          <w:sz w:val="22"/>
        </w:rPr>
        <w:t xml:space="preserve">; </w:t>
      </w:r>
      <w:r w:rsidR="774BD09A" w:rsidRPr="1F675BCD">
        <w:rPr>
          <w:sz w:val="22"/>
        </w:rPr>
        <w:t>o</w:t>
      </w:r>
      <w:r w:rsidR="00FB4BE1" w:rsidRPr="53EE565F">
        <w:rPr>
          <w:sz w:val="22"/>
        </w:rPr>
        <w:t xml:space="preserve">nly </w:t>
      </w:r>
      <w:r w:rsidR="00DA44E7" w:rsidRPr="53EE565F">
        <w:rPr>
          <w:sz w:val="22"/>
        </w:rPr>
        <w:t xml:space="preserve">14.3% of </w:t>
      </w:r>
      <w:r w:rsidR="00E61DB0" w:rsidRPr="53EE565F">
        <w:rPr>
          <w:sz w:val="22"/>
        </w:rPr>
        <w:t>the</w:t>
      </w:r>
      <w:r w:rsidR="00437F7D" w:rsidRPr="53EE565F">
        <w:rPr>
          <w:sz w:val="22"/>
        </w:rPr>
        <w:t xml:space="preserve"> total</w:t>
      </w:r>
      <w:r w:rsidR="00E61DB0" w:rsidRPr="53EE565F">
        <w:rPr>
          <w:sz w:val="22"/>
        </w:rPr>
        <w:t xml:space="preserve"> workforce</w:t>
      </w:r>
      <w:r w:rsidR="00437F7D" w:rsidRPr="53EE565F">
        <w:rPr>
          <w:sz w:val="22"/>
        </w:rPr>
        <w:t>, however,</w:t>
      </w:r>
      <w:r w:rsidR="00E61DB0" w:rsidRPr="53EE565F">
        <w:rPr>
          <w:sz w:val="22"/>
        </w:rPr>
        <w:t xml:space="preserve"> </w:t>
      </w:r>
      <w:r w:rsidR="203D18C3" w:rsidRPr="53EE565F">
        <w:rPr>
          <w:sz w:val="22"/>
        </w:rPr>
        <w:t xml:space="preserve">were </w:t>
      </w:r>
      <w:r w:rsidR="5986D5D8" w:rsidRPr="1F675BCD">
        <w:rPr>
          <w:sz w:val="22"/>
        </w:rPr>
        <w:t xml:space="preserve">aged </w:t>
      </w:r>
      <w:r w:rsidR="00FB4BE1" w:rsidRPr="53EE565F">
        <w:rPr>
          <w:sz w:val="22"/>
        </w:rPr>
        <w:t>15</w:t>
      </w:r>
      <w:r w:rsidR="4288E6BF" w:rsidRPr="53EE565F">
        <w:rPr>
          <w:sz w:val="22"/>
        </w:rPr>
        <w:t xml:space="preserve"> to </w:t>
      </w:r>
      <w:r w:rsidR="00FB4BE1" w:rsidRPr="53EE565F">
        <w:rPr>
          <w:sz w:val="22"/>
        </w:rPr>
        <w:t>24</w:t>
      </w:r>
      <w:r w:rsidR="00772B05">
        <w:rPr>
          <w:sz w:val="22"/>
        </w:rPr>
        <w:t xml:space="preserve"> (see Table 1). </w:t>
      </w:r>
      <w:r w:rsidR="74FC6BF4" w:rsidRPr="53EE565F">
        <w:rPr>
          <w:sz w:val="22"/>
        </w:rPr>
        <w:t xml:space="preserve"> </w:t>
      </w:r>
    </w:p>
    <w:p w14:paraId="49BD3B10" w14:textId="35161EC5" w:rsidR="00DA44E7" w:rsidRPr="00E32053" w:rsidRDefault="00DA44E7" w:rsidP="00DA44E7">
      <w:pPr>
        <w:spacing w:after="0" w:line="257" w:lineRule="auto"/>
        <w:rPr>
          <w:color w:val="0070C0"/>
          <w:sz w:val="22"/>
        </w:rPr>
      </w:pPr>
      <w:r>
        <w:rPr>
          <w:color w:val="0070C0"/>
          <w:sz w:val="22"/>
        </w:rPr>
        <w:t xml:space="preserve">Table </w:t>
      </w:r>
      <w:r w:rsidR="00C7755A">
        <w:rPr>
          <w:color w:val="0070C0"/>
          <w:sz w:val="22"/>
        </w:rPr>
        <w:t>1</w:t>
      </w:r>
      <w:r w:rsidRPr="00E32053">
        <w:rPr>
          <w:color w:val="0070C0"/>
          <w:sz w:val="22"/>
        </w:rPr>
        <w:t xml:space="preserve"> Workforce by age cohort, Niagara residents, 2016 Census</w:t>
      </w:r>
    </w:p>
    <w:tbl>
      <w:tblPr>
        <w:tblW w:w="9493" w:type="dxa"/>
        <w:tblLook w:val="04A0" w:firstRow="1" w:lastRow="0" w:firstColumn="1" w:lastColumn="0" w:noHBand="0" w:noVBand="1"/>
      </w:tblPr>
      <w:tblGrid>
        <w:gridCol w:w="2260"/>
        <w:gridCol w:w="1265"/>
        <w:gridCol w:w="2080"/>
        <w:gridCol w:w="1265"/>
        <w:gridCol w:w="2623"/>
      </w:tblGrid>
      <w:tr w:rsidR="00DA44E7" w:rsidRPr="00175452" w14:paraId="3CC563A5" w14:textId="77777777" w:rsidTr="00317807">
        <w:trPr>
          <w:trHeight w:val="60"/>
        </w:trPr>
        <w:tc>
          <w:tcPr>
            <w:tcW w:w="2260" w:type="dxa"/>
            <w:tcBorders>
              <w:top w:val="nil"/>
              <w:left w:val="nil"/>
              <w:bottom w:val="nil"/>
              <w:right w:val="nil"/>
            </w:tcBorders>
            <w:shd w:val="clear" w:color="auto" w:fill="auto"/>
            <w:noWrap/>
            <w:vAlign w:val="bottom"/>
            <w:hideMark/>
          </w:tcPr>
          <w:p w14:paraId="7B8FB71D" w14:textId="77777777" w:rsidR="00DA44E7" w:rsidRPr="00175452" w:rsidRDefault="00DA44E7" w:rsidP="00A060BC">
            <w:pPr>
              <w:spacing w:after="0" w:line="240" w:lineRule="auto"/>
              <w:rPr>
                <w:rFonts w:ascii="Times New Roman" w:eastAsia="Times New Roman" w:hAnsi="Times New Roman" w:cs="Times New Roman"/>
                <w:sz w:val="20"/>
              </w:rPr>
            </w:pPr>
          </w:p>
        </w:tc>
        <w:tc>
          <w:tcPr>
            <w:tcW w:w="3345" w:type="dxa"/>
            <w:gridSpan w:val="2"/>
            <w:tcBorders>
              <w:top w:val="single" w:sz="8" w:space="0" w:color="auto"/>
              <w:left w:val="single" w:sz="8" w:space="0" w:color="auto"/>
              <w:bottom w:val="single" w:sz="8" w:space="0" w:color="auto"/>
              <w:right w:val="nil"/>
            </w:tcBorders>
            <w:shd w:val="clear" w:color="000000" w:fill="5B9BD5"/>
            <w:noWrap/>
            <w:vAlign w:val="center"/>
            <w:hideMark/>
          </w:tcPr>
          <w:p w14:paraId="5370DFBA" w14:textId="77777777" w:rsidR="00DA44E7" w:rsidRPr="00175452" w:rsidRDefault="00DA44E7" w:rsidP="00A060BC">
            <w:pPr>
              <w:spacing w:after="0" w:line="240" w:lineRule="auto"/>
              <w:jc w:val="center"/>
              <w:rPr>
                <w:rFonts w:eastAsia="Times New Roman" w:cs="Times New Roman"/>
                <w:b/>
                <w:bCs/>
                <w:color w:val="FFFFFF"/>
                <w:sz w:val="20"/>
              </w:rPr>
            </w:pPr>
            <w:r w:rsidRPr="00175452">
              <w:rPr>
                <w:rFonts w:eastAsia="Times New Roman" w:cs="Times New Roman"/>
                <w:b/>
                <w:bCs/>
                <w:color w:val="FFFFFF"/>
                <w:sz w:val="20"/>
              </w:rPr>
              <w:t>Retail Trade</w:t>
            </w:r>
          </w:p>
        </w:tc>
        <w:tc>
          <w:tcPr>
            <w:tcW w:w="3888" w:type="dxa"/>
            <w:gridSpan w:val="2"/>
            <w:tcBorders>
              <w:top w:val="single" w:sz="8" w:space="0" w:color="auto"/>
              <w:left w:val="single" w:sz="8" w:space="0" w:color="auto"/>
              <w:bottom w:val="single" w:sz="8" w:space="0" w:color="auto"/>
              <w:right w:val="single" w:sz="8" w:space="0" w:color="000000"/>
            </w:tcBorders>
            <w:shd w:val="clear" w:color="000000" w:fill="5B9BD5"/>
            <w:noWrap/>
            <w:vAlign w:val="center"/>
            <w:hideMark/>
          </w:tcPr>
          <w:p w14:paraId="2C43B6B7" w14:textId="77777777" w:rsidR="00DA44E7" w:rsidRPr="00175452" w:rsidRDefault="00DA44E7" w:rsidP="00A060BC">
            <w:pPr>
              <w:spacing w:after="0" w:line="240" w:lineRule="auto"/>
              <w:jc w:val="center"/>
              <w:rPr>
                <w:rFonts w:eastAsia="Times New Roman" w:cs="Times New Roman"/>
                <w:b/>
                <w:bCs/>
                <w:color w:val="FFFFFF"/>
                <w:sz w:val="20"/>
              </w:rPr>
            </w:pPr>
            <w:r w:rsidRPr="00175452">
              <w:rPr>
                <w:rFonts w:eastAsia="Times New Roman" w:cs="Times New Roman"/>
                <w:b/>
                <w:bCs/>
                <w:color w:val="FFFFFF"/>
                <w:sz w:val="20"/>
              </w:rPr>
              <w:t>All Industries</w:t>
            </w:r>
          </w:p>
        </w:tc>
      </w:tr>
      <w:tr w:rsidR="00DA44E7" w:rsidRPr="00175452" w14:paraId="1F7BB2DE" w14:textId="77777777" w:rsidTr="00A060BC">
        <w:trPr>
          <w:trHeight w:val="60"/>
        </w:trPr>
        <w:tc>
          <w:tcPr>
            <w:tcW w:w="2260" w:type="dxa"/>
            <w:tcBorders>
              <w:top w:val="nil"/>
              <w:left w:val="nil"/>
              <w:bottom w:val="nil"/>
              <w:right w:val="nil"/>
            </w:tcBorders>
            <w:shd w:val="clear" w:color="auto" w:fill="auto"/>
            <w:noWrap/>
            <w:vAlign w:val="bottom"/>
            <w:hideMark/>
          </w:tcPr>
          <w:p w14:paraId="7B8C909F" w14:textId="77777777" w:rsidR="00DA44E7" w:rsidRPr="00175452" w:rsidRDefault="00DA44E7" w:rsidP="00A060BC">
            <w:pPr>
              <w:spacing w:after="0" w:line="240" w:lineRule="auto"/>
              <w:jc w:val="center"/>
              <w:rPr>
                <w:rFonts w:eastAsia="Times New Roman" w:cs="Times New Roman"/>
                <w:b/>
                <w:bCs/>
                <w:color w:val="FFFFFF"/>
                <w:sz w:val="20"/>
              </w:rPr>
            </w:pPr>
          </w:p>
        </w:tc>
        <w:tc>
          <w:tcPr>
            <w:tcW w:w="1265" w:type="dxa"/>
            <w:tcBorders>
              <w:top w:val="nil"/>
              <w:left w:val="single" w:sz="8" w:space="0" w:color="auto"/>
              <w:bottom w:val="nil"/>
              <w:right w:val="nil"/>
            </w:tcBorders>
            <w:shd w:val="clear" w:color="000000" w:fill="5B9BD5"/>
            <w:noWrap/>
            <w:vAlign w:val="center"/>
            <w:hideMark/>
          </w:tcPr>
          <w:p w14:paraId="5A95223D" w14:textId="77777777" w:rsidR="00DA44E7" w:rsidRPr="00175452" w:rsidRDefault="00DA44E7" w:rsidP="00A060BC">
            <w:pPr>
              <w:spacing w:after="0" w:line="240" w:lineRule="auto"/>
              <w:jc w:val="center"/>
              <w:rPr>
                <w:rFonts w:eastAsia="Times New Roman" w:cs="Times New Roman"/>
                <w:b/>
                <w:bCs/>
                <w:color w:val="FFFFFF"/>
                <w:sz w:val="20"/>
              </w:rPr>
            </w:pPr>
            <w:r w:rsidRPr="00175452">
              <w:rPr>
                <w:rFonts w:eastAsia="Times New Roman" w:cs="Times New Roman"/>
                <w:b/>
                <w:bCs/>
                <w:color w:val="FFFFFF"/>
                <w:sz w:val="20"/>
              </w:rPr>
              <w:t>Workers</w:t>
            </w:r>
          </w:p>
        </w:tc>
        <w:tc>
          <w:tcPr>
            <w:tcW w:w="2079" w:type="dxa"/>
            <w:tcBorders>
              <w:top w:val="nil"/>
              <w:left w:val="single" w:sz="8" w:space="0" w:color="auto"/>
              <w:bottom w:val="nil"/>
              <w:right w:val="nil"/>
            </w:tcBorders>
            <w:shd w:val="clear" w:color="000000" w:fill="5B9BD5"/>
            <w:vAlign w:val="center"/>
            <w:hideMark/>
          </w:tcPr>
          <w:p w14:paraId="264F6F61" w14:textId="77777777" w:rsidR="00DA44E7" w:rsidRPr="00175452" w:rsidRDefault="00DA44E7" w:rsidP="00A060BC">
            <w:pPr>
              <w:spacing w:after="0" w:line="240" w:lineRule="auto"/>
              <w:jc w:val="center"/>
              <w:rPr>
                <w:rFonts w:eastAsia="Times New Roman" w:cs="Times New Roman"/>
                <w:b/>
                <w:bCs/>
                <w:color w:val="FFFFFF"/>
                <w:sz w:val="20"/>
              </w:rPr>
            </w:pPr>
            <w:r w:rsidRPr="00175452">
              <w:rPr>
                <w:rFonts w:eastAsia="Times New Roman" w:cs="Times New Roman"/>
                <w:b/>
                <w:bCs/>
                <w:color w:val="FFFFFF"/>
                <w:sz w:val="20"/>
              </w:rPr>
              <w:t>Percent of Total</w:t>
            </w:r>
          </w:p>
        </w:tc>
        <w:tc>
          <w:tcPr>
            <w:tcW w:w="1265" w:type="dxa"/>
            <w:tcBorders>
              <w:top w:val="nil"/>
              <w:left w:val="single" w:sz="8" w:space="0" w:color="auto"/>
              <w:bottom w:val="nil"/>
              <w:right w:val="single" w:sz="8" w:space="0" w:color="auto"/>
            </w:tcBorders>
            <w:shd w:val="clear" w:color="000000" w:fill="5B9BD5"/>
            <w:vAlign w:val="center"/>
            <w:hideMark/>
          </w:tcPr>
          <w:p w14:paraId="5070A152" w14:textId="77777777" w:rsidR="00DA44E7" w:rsidRPr="00175452" w:rsidRDefault="00DA44E7" w:rsidP="00A060BC">
            <w:pPr>
              <w:spacing w:after="0" w:line="240" w:lineRule="auto"/>
              <w:jc w:val="center"/>
              <w:rPr>
                <w:rFonts w:eastAsia="Times New Roman" w:cs="Times New Roman"/>
                <w:b/>
                <w:bCs/>
                <w:color w:val="FFFFFF"/>
                <w:sz w:val="20"/>
              </w:rPr>
            </w:pPr>
            <w:r w:rsidRPr="00175452">
              <w:rPr>
                <w:rFonts w:eastAsia="Times New Roman" w:cs="Times New Roman"/>
                <w:b/>
                <w:bCs/>
                <w:color w:val="FFFFFF"/>
                <w:sz w:val="20"/>
              </w:rPr>
              <w:t>Workers</w:t>
            </w:r>
          </w:p>
        </w:tc>
        <w:tc>
          <w:tcPr>
            <w:tcW w:w="2622" w:type="dxa"/>
            <w:tcBorders>
              <w:top w:val="nil"/>
              <w:left w:val="nil"/>
              <w:bottom w:val="nil"/>
              <w:right w:val="single" w:sz="8" w:space="0" w:color="auto"/>
            </w:tcBorders>
            <w:shd w:val="clear" w:color="000000" w:fill="5B9BD5"/>
            <w:vAlign w:val="center"/>
            <w:hideMark/>
          </w:tcPr>
          <w:p w14:paraId="0BE9B2C4" w14:textId="77777777" w:rsidR="00DA44E7" w:rsidRPr="00175452" w:rsidRDefault="00DA44E7" w:rsidP="00A060BC">
            <w:pPr>
              <w:spacing w:after="0" w:line="240" w:lineRule="auto"/>
              <w:jc w:val="center"/>
              <w:rPr>
                <w:rFonts w:eastAsia="Times New Roman" w:cs="Times New Roman"/>
                <w:b/>
                <w:bCs/>
                <w:color w:val="FFFFFF"/>
                <w:sz w:val="20"/>
              </w:rPr>
            </w:pPr>
            <w:r w:rsidRPr="00175452">
              <w:rPr>
                <w:rFonts w:eastAsia="Times New Roman" w:cs="Times New Roman"/>
                <w:b/>
                <w:bCs/>
                <w:color w:val="FFFFFF"/>
                <w:sz w:val="20"/>
              </w:rPr>
              <w:t>Percent of Total</w:t>
            </w:r>
          </w:p>
        </w:tc>
      </w:tr>
      <w:tr w:rsidR="00DA44E7" w:rsidRPr="00175452" w14:paraId="7AFD8113" w14:textId="77777777" w:rsidTr="00A060BC">
        <w:trPr>
          <w:trHeight w:val="60"/>
        </w:trPr>
        <w:tc>
          <w:tcPr>
            <w:tcW w:w="2260" w:type="dxa"/>
            <w:tcBorders>
              <w:top w:val="single" w:sz="8" w:space="0" w:color="auto"/>
              <w:left w:val="single" w:sz="8" w:space="0" w:color="auto"/>
              <w:bottom w:val="single" w:sz="8" w:space="0" w:color="auto"/>
              <w:right w:val="nil"/>
            </w:tcBorders>
            <w:shd w:val="clear" w:color="000000" w:fill="5B9BD5"/>
            <w:noWrap/>
            <w:vAlign w:val="center"/>
            <w:hideMark/>
          </w:tcPr>
          <w:p w14:paraId="6789A1D3" w14:textId="77777777" w:rsidR="00DA44E7" w:rsidRPr="00175452" w:rsidRDefault="00DA44E7" w:rsidP="00A060BC">
            <w:pPr>
              <w:spacing w:after="0" w:line="240" w:lineRule="auto"/>
              <w:rPr>
                <w:rFonts w:eastAsia="Times New Roman" w:cs="Times New Roman"/>
                <w:b/>
                <w:bCs/>
                <w:color w:val="FFFFFF"/>
                <w:sz w:val="20"/>
              </w:rPr>
            </w:pPr>
            <w:r w:rsidRPr="00175452">
              <w:rPr>
                <w:rFonts w:eastAsia="Times New Roman" w:cs="Times New Roman"/>
                <w:b/>
                <w:bCs/>
                <w:color w:val="FFFFFF"/>
                <w:sz w:val="20"/>
              </w:rPr>
              <w:t>15 to 24 years</w:t>
            </w:r>
          </w:p>
        </w:tc>
        <w:tc>
          <w:tcPr>
            <w:tcW w:w="1265" w:type="dxa"/>
            <w:tcBorders>
              <w:top w:val="single" w:sz="8" w:space="0" w:color="auto"/>
              <w:left w:val="single" w:sz="8" w:space="0" w:color="auto"/>
              <w:bottom w:val="single" w:sz="4" w:space="0" w:color="A6A6A6"/>
              <w:right w:val="single" w:sz="4" w:space="0" w:color="A6A6A6"/>
            </w:tcBorders>
            <w:shd w:val="clear" w:color="auto" w:fill="auto"/>
            <w:noWrap/>
            <w:vAlign w:val="bottom"/>
            <w:hideMark/>
          </w:tcPr>
          <w:p w14:paraId="2611F7D1" w14:textId="77777777" w:rsidR="00DA44E7" w:rsidRPr="00175452" w:rsidRDefault="00DA44E7" w:rsidP="00A060BC">
            <w:pPr>
              <w:spacing w:after="0" w:line="240" w:lineRule="auto"/>
              <w:jc w:val="center"/>
              <w:rPr>
                <w:rFonts w:eastAsia="Times New Roman" w:cs="Times New Roman"/>
                <w:color w:val="000000"/>
                <w:sz w:val="20"/>
              </w:rPr>
            </w:pPr>
            <w:r w:rsidRPr="00175452">
              <w:rPr>
                <w:rFonts w:eastAsia="Times New Roman" w:cs="Times New Roman"/>
                <w:color w:val="000000"/>
                <w:sz w:val="20"/>
              </w:rPr>
              <w:t>6,285</w:t>
            </w:r>
          </w:p>
        </w:tc>
        <w:tc>
          <w:tcPr>
            <w:tcW w:w="2079" w:type="dxa"/>
            <w:tcBorders>
              <w:top w:val="single" w:sz="8" w:space="0" w:color="auto"/>
              <w:left w:val="nil"/>
              <w:bottom w:val="single" w:sz="4" w:space="0" w:color="A6A6A6"/>
              <w:right w:val="single" w:sz="4" w:space="0" w:color="A6A6A6"/>
            </w:tcBorders>
            <w:shd w:val="clear" w:color="auto" w:fill="auto"/>
            <w:noWrap/>
            <w:vAlign w:val="bottom"/>
            <w:hideMark/>
          </w:tcPr>
          <w:p w14:paraId="1A5CD070" w14:textId="77777777" w:rsidR="00DA44E7" w:rsidRPr="00175452" w:rsidRDefault="00DA44E7" w:rsidP="00A060BC">
            <w:pPr>
              <w:spacing w:after="0" w:line="240" w:lineRule="auto"/>
              <w:jc w:val="center"/>
              <w:rPr>
                <w:rFonts w:eastAsia="Times New Roman" w:cs="Times New Roman"/>
                <w:color w:val="000000"/>
                <w:sz w:val="20"/>
              </w:rPr>
            </w:pPr>
            <w:r w:rsidRPr="00175452">
              <w:rPr>
                <w:rFonts w:eastAsia="Times New Roman" w:cs="Times New Roman"/>
                <w:color w:val="000000"/>
                <w:sz w:val="20"/>
              </w:rPr>
              <w:t>24.2%</w:t>
            </w:r>
          </w:p>
        </w:tc>
        <w:tc>
          <w:tcPr>
            <w:tcW w:w="1265" w:type="dxa"/>
            <w:tcBorders>
              <w:top w:val="single" w:sz="8" w:space="0" w:color="auto"/>
              <w:left w:val="nil"/>
              <w:bottom w:val="single" w:sz="4" w:space="0" w:color="A6A6A6"/>
              <w:right w:val="single" w:sz="4" w:space="0" w:color="A6A6A6"/>
            </w:tcBorders>
            <w:shd w:val="clear" w:color="auto" w:fill="auto"/>
            <w:noWrap/>
            <w:vAlign w:val="bottom"/>
            <w:hideMark/>
          </w:tcPr>
          <w:p w14:paraId="75B52569" w14:textId="77777777" w:rsidR="00DA44E7" w:rsidRPr="00175452" w:rsidRDefault="00DA44E7" w:rsidP="00A060BC">
            <w:pPr>
              <w:spacing w:after="0" w:line="240" w:lineRule="auto"/>
              <w:jc w:val="center"/>
              <w:rPr>
                <w:rFonts w:eastAsia="Times New Roman" w:cs="Times New Roman"/>
                <w:color w:val="000000"/>
                <w:sz w:val="20"/>
              </w:rPr>
            </w:pPr>
            <w:r w:rsidRPr="00175452">
              <w:rPr>
                <w:rFonts w:eastAsia="Times New Roman" w:cs="Times New Roman"/>
                <w:color w:val="000000"/>
                <w:sz w:val="20"/>
              </w:rPr>
              <w:t>29,965</w:t>
            </w:r>
          </w:p>
        </w:tc>
        <w:tc>
          <w:tcPr>
            <w:tcW w:w="2622" w:type="dxa"/>
            <w:tcBorders>
              <w:top w:val="single" w:sz="8" w:space="0" w:color="auto"/>
              <w:left w:val="nil"/>
              <w:bottom w:val="single" w:sz="4" w:space="0" w:color="A6A6A6"/>
              <w:right w:val="single" w:sz="8" w:space="0" w:color="auto"/>
            </w:tcBorders>
            <w:shd w:val="clear" w:color="auto" w:fill="auto"/>
            <w:noWrap/>
            <w:vAlign w:val="bottom"/>
            <w:hideMark/>
          </w:tcPr>
          <w:p w14:paraId="41692D59" w14:textId="77777777" w:rsidR="00DA44E7" w:rsidRPr="00175452" w:rsidRDefault="00DA44E7" w:rsidP="00A060BC">
            <w:pPr>
              <w:spacing w:after="0" w:line="240" w:lineRule="auto"/>
              <w:jc w:val="center"/>
              <w:rPr>
                <w:rFonts w:eastAsia="Times New Roman" w:cs="Times New Roman"/>
                <w:color w:val="000000"/>
                <w:sz w:val="20"/>
              </w:rPr>
            </w:pPr>
            <w:r w:rsidRPr="00175452">
              <w:rPr>
                <w:rFonts w:eastAsia="Times New Roman" w:cs="Times New Roman"/>
                <w:color w:val="000000"/>
                <w:sz w:val="20"/>
              </w:rPr>
              <w:t>14.3%</w:t>
            </w:r>
          </w:p>
        </w:tc>
      </w:tr>
      <w:tr w:rsidR="00DA44E7" w:rsidRPr="00175452" w14:paraId="2265CB9A" w14:textId="77777777" w:rsidTr="00A060BC">
        <w:trPr>
          <w:trHeight w:val="60"/>
        </w:trPr>
        <w:tc>
          <w:tcPr>
            <w:tcW w:w="2260" w:type="dxa"/>
            <w:tcBorders>
              <w:top w:val="nil"/>
              <w:left w:val="single" w:sz="8" w:space="0" w:color="auto"/>
              <w:bottom w:val="single" w:sz="8" w:space="0" w:color="auto"/>
              <w:right w:val="nil"/>
            </w:tcBorders>
            <w:shd w:val="clear" w:color="000000" w:fill="5B9BD5"/>
            <w:noWrap/>
            <w:vAlign w:val="center"/>
            <w:hideMark/>
          </w:tcPr>
          <w:p w14:paraId="6A4DBC9F" w14:textId="77777777" w:rsidR="00DA44E7" w:rsidRPr="00175452" w:rsidRDefault="00DA44E7" w:rsidP="00A060BC">
            <w:pPr>
              <w:spacing w:after="0" w:line="240" w:lineRule="auto"/>
              <w:rPr>
                <w:rFonts w:eastAsia="Times New Roman" w:cs="Times New Roman"/>
                <w:b/>
                <w:bCs/>
                <w:color w:val="FFFFFF"/>
                <w:sz w:val="20"/>
              </w:rPr>
            </w:pPr>
            <w:r w:rsidRPr="00175452">
              <w:rPr>
                <w:rFonts w:eastAsia="Times New Roman" w:cs="Times New Roman"/>
                <w:b/>
                <w:bCs/>
                <w:color w:val="FFFFFF"/>
                <w:sz w:val="20"/>
              </w:rPr>
              <w:t>25 to 44 years</w:t>
            </w:r>
          </w:p>
        </w:tc>
        <w:tc>
          <w:tcPr>
            <w:tcW w:w="1265" w:type="dxa"/>
            <w:tcBorders>
              <w:top w:val="nil"/>
              <w:left w:val="single" w:sz="8" w:space="0" w:color="auto"/>
              <w:bottom w:val="single" w:sz="4" w:space="0" w:color="A6A6A6"/>
              <w:right w:val="single" w:sz="4" w:space="0" w:color="A6A6A6"/>
            </w:tcBorders>
            <w:shd w:val="clear" w:color="auto" w:fill="auto"/>
            <w:noWrap/>
            <w:vAlign w:val="bottom"/>
            <w:hideMark/>
          </w:tcPr>
          <w:p w14:paraId="434A1061" w14:textId="77777777" w:rsidR="00DA44E7" w:rsidRPr="00175452" w:rsidRDefault="00DA44E7" w:rsidP="00A060BC">
            <w:pPr>
              <w:spacing w:after="0" w:line="240" w:lineRule="auto"/>
              <w:jc w:val="center"/>
              <w:rPr>
                <w:rFonts w:eastAsia="Times New Roman" w:cs="Times New Roman"/>
                <w:color w:val="000000"/>
                <w:sz w:val="20"/>
              </w:rPr>
            </w:pPr>
            <w:r w:rsidRPr="00175452">
              <w:rPr>
                <w:rFonts w:eastAsia="Times New Roman" w:cs="Times New Roman"/>
                <w:color w:val="000000"/>
                <w:sz w:val="20"/>
              </w:rPr>
              <w:t>8,150</w:t>
            </w:r>
          </w:p>
        </w:tc>
        <w:tc>
          <w:tcPr>
            <w:tcW w:w="2079" w:type="dxa"/>
            <w:tcBorders>
              <w:top w:val="nil"/>
              <w:left w:val="nil"/>
              <w:bottom w:val="single" w:sz="4" w:space="0" w:color="A6A6A6"/>
              <w:right w:val="single" w:sz="4" w:space="0" w:color="A6A6A6"/>
            </w:tcBorders>
            <w:shd w:val="clear" w:color="auto" w:fill="auto"/>
            <w:noWrap/>
            <w:vAlign w:val="bottom"/>
            <w:hideMark/>
          </w:tcPr>
          <w:p w14:paraId="0B63334E" w14:textId="77777777" w:rsidR="00DA44E7" w:rsidRPr="00175452" w:rsidRDefault="00DA44E7" w:rsidP="00A060BC">
            <w:pPr>
              <w:spacing w:after="0" w:line="240" w:lineRule="auto"/>
              <w:jc w:val="center"/>
              <w:rPr>
                <w:rFonts w:eastAsia="Times New Roman" w:cs="Times New Roman"/>
                <w:color w:val="000000"/>
                <w:sz w:val="20"/>
              </w:rPr>
            </w:pPr>
            <w:r w:rsidRPr="00175452">
              <w:rPr>
                <w:rFonts w:eastAsia="Times New Roman" w:cs="Times New Roman"/>
                <w:color w:val="000000"/>
                <w:sz w:val="20"/>
              </w:rPr>
              <w:t>31.3%</w:t>
            </w:r>
          </w:p>
        </w:tc>
        <w:tc>
          <w:tcPr>
            <w:tcW w:w="1265" w:type="dxa"/>
            <w:tcBorders>
              <w:top w:val="nil"/>
              <w:left w:val="nil"/>
              <w:bottom w:val="single" w:sz="4" w:space="0" w:color="A6A6A6"/>
              <w:right w:val="single" w:sz="4" w:space="0" w:color="A6A6A6"/>
            </w:tcBorders>
            <w:shd w:val="clear" w:color="auto" w:fill="auto"/>
            <w:noWrap/>
            <w:vAlign w:val="bottom"/>
            <w:hideMark/>
          </w:tcPr>
          <w:p w14:paraId="77B3F78C" w14:textId="77777777" w:rsidR="00DA44E7" w:rsidRPr="00175452" w:rsidRDefault="00DA44E7" w:rsidP="00A060BC">
            <w:pPr>
              <w:spacing w:after="0" w:line="240" w:lineRule="auto"/>
              <w:jc w:val="center"/>
              <w:rPr>
                <w:rFonts w:eastAsia="Times New Roman" w:cs="Times New Roman"/>
                <w:color w:val="000000"/>
                <w:sz w:val="20"/>
              </w:rPr>
            </w:pPr>
            <w:r w:rsidRPr="00175452">
              <w:rPr>
                <w:rFonts w:eastAsia="Times New Roman" w:cs="Times New Roman"/>
                <w:color w:val="000000"/>
                <w:sz w:val="20"/>
              </w:rPr>
              <w:t>78,535</w:t>
            </w:r>
          </w:p>
        </w:tc>
        <w:tc>
          <w:tcPr>
            <w:tcW w:w="2622" w:type="dxa"/>
            <w:tcBorders>
              <w:top w:val="nil"/>
              <w:left w:val="nil"/>
              <w:bottom w:val="single" w:sz="4" w:space="0" w:color="A6A6A6"/>
              <w:right w:val="single" w:sz="8" w:space="0" w:color="auto"/>
            </w:tcBorders>
            <w:shd w:val="clear" w:color="auto" w:fill="auto"/>
            <w:noWrap/>
            <w:vAlign w:val="bottom"/>
            <w:hideMark/>
          </w:tcPr>
          <w:p w14:paraId="4E2CA940" w14:textId="77777777" w:rsidR="00DA44E7" w:rsidRPr="00175452" w:rsidRDefault="00DA44E7" w:rsidP="00A060BC">
            <w:pPr>
              <w:spacing w:after="0" w:line="240" w:lineRule="auto"/>
              <w:jc w:val="center"/>
              <w:rPr>
                <w:rFonts w:eastAsia="Times New Roman" w:cs="Times New Roman"/>
                <w:color w:val="000000"/>
                <w:sz w:val="20"/>
              </w:rPr>
            </w:pPr>
            <w:r w:rsidRPr="00175452">
              <w:rPr>
                <w:rFonts w:eastAsia="Times New Roman" w:cs="Times New Roman"/>
                <w:color w:val="000000"/>
                <w:sz w:val="20"/>
              </w:rPr>
              <w:t>37.4%</w:t>
            </w:r>
          </w:p>
        </w:tc>
      </w:tr>
      <w:tr w:rsidR="00DA44E7" w:rsidRPr="00175452" w14:paraId="04518ADF" w14:textId="77777777" w:rsidTr="00A060BC">
        <w:trPr>
          <w:trHeight w:val="60"/>
        </w:trPr>
        <w:tc>
          <w:tcPr>
            <w:tcW w:w="2260" w:type="dxa"/>
            <w:tcBorders>
              <w:top w:val="nil"/>
              <w:left w:val="single" w:sz="8" w:space="0" w:color="auto"/>
              <w:bottom w:val="single" w:sz="8" w:space="0" w:color="auto"/>
              <w:right w:val="nil"/>
            </w:tcBorders>
            <w:shd w:val="clear" w:color="000000" w:fill="5B9BD5"/>
            <w:noWrap/>
            <w:vAlign w:val="center"/>
            <w:hideMark/>
          </w:tcPr>
          <w:p w14:paraId="36409422" w14:textId="77777777" w:rsidR="00DA44E7" w:rsidRPr="00175452" w:rsidRDefault="00DA44E7" w:rsidP="00A060BC">
            <w:pPr>
              <w:spacing w:after="0" w:line="240" w:lineRule="auto"/>
              <w:rPr>
                <w:rFonts w:eastAsia="Times New Roman" w:cs="Times New Roman"/>
                <w:b/>
                <w:bCs/>
                <w:color w:val="FFFFFF"/>
                <w:sz w:val="20"/>
              </w:rPr>
            </w:pPr>
            <w:r w:rsidRPr="00175452">
              <w:rPr>
                <w:rFonts w:eastAsia="Times New Roman" w:cs="Times New Roman"/>
                <w:b/>
                <w:bCs/>
                <w:color w:val="FFFFFF"/>
                <w:sz w:val="20"/>
              </w:rPr>
              <w:t>45 to 54 years</w:t>
            </w:r>
          </w:p>
        </w:tc>
        <w:tc>
          <w:tcPr>
            <w:tcW w:w="1265" w:type="dxa"/>
            <w:tcBorders>
              <w:top w:val="nil"/>
              <w:left w:val="single" w:sz="8" w:space="0" w:color="auto"/>
              <w:bottom w:val="single" w:sz="4" w:space="0" w:color="A6A6A6"/>
              <w:right w:val="single" w:sz="4" w:space="0" w:color="A6A6A6"/>
            </w:tcBorders>
            <w:shd w:val="clear" w:color="auto" w:fill="auto"/>
            <w:noWrap/>
            <w:vAlign w:val="bottom"/>
            <w:hideMark/>
          </w:tcPr>
          <w:p w14:paraId="667FB73D" w14:textId="77777777" w:rsidR="00DA44E7" w:rsidRPr="00175452" w:rsidRDefault="00DA44E7" w:rsidP="00A060BC">
            <w:pPr>
              <w:spacing w:after="0" w:line="240" w:lineRule="auto"/>
              <w:jc w:val="center"/>
              <w:rPr>
                <w:rFonts w:eastAsia="Times New Roman" w:cs="Times New Roman"/>
                <w:color w:val="000000"/>
                <w:sz w:val="20"/>
              </w:rPr>
            </w:pPr>
            <w:r w:rsidRPr="00175452">
              <w:rPr>
                <w:rFonts w:eastAsia="Times New Roman" w:cs="Times New Roman"/>
                <w:color w:val="000000"/>
                <w:sz w:val="20"/>
              </w:rPr>
              <w:t>5,110</w:t>
            </w:r>
          </w:p>
        </w:tc>
        <w:tc>
          <w:tcPr>
            <w:tcW w:w="2079" w:type="dxa"/>
            <w:tcBorders>
              <w:top w:val="nil"/>
              <w:left w:val="nil"/>
              <w:bottom w:val="single" w:sz="4" w:space="0" w:color="A6A6A6"/>
              <w:right w:val="single" w:sz="4" w:space="0" w:color="A6A6A6"/>
            </w:tcBorders>
            <w:shd w:val="clear" w:color="auto" w:fill="auto"/>
            <w:noWrap/>
            <w:vAlign w:val="bottom"/>
            <w:hideMark/>
          </w:tcPr>
          <w:p w14:paraId="4CA585A9" w14:textId="77777777" w:rsidR="00DA44E7" w:rsidRPr="00175452" w:rsidRDefault="00DA44E7" w:rsidP="00A060BC">
            <w:pPr>
              <w:spacing w:after="0" w:line="240" w:lineRule="auto"/>
              <w:jc w:val="center"/>
              <w:rPr>
                <w:rFonts w:eastAsia="Times New Roman" w:cs="Times New Roman"/>
                <w:color w:val="000000"/>
                <w:sz w:val="20"/>
              </w:rPr>
            </w:pPr>
            <w:r w:rsidRPr="00175452">
              <w:rPr>
                <w:rFonts w:eastAsia="Times New Roman" w:cs="Times New Roman"/>
                <w:color w:val="000000"/>
                <w:sz w:val="20"/>
              </w:rPr>
              <w:t>19.6%</w:t>
            </w:r>
          </w:p>
        </w:tc>
        <w:tc>
          <w:tcPr>
            <w:tcW w:w="1265" w:type="dxa"/>
            <w:tcBorders>
              <w:top w:val="nil"/>
              <w:left w:val="nil"/>
              <w:bottom w:val="single" w:sz="4" w:space="0" w:color="A6A6A6"/>
              <w:right w:val="single" w:sz="4" w:space="0" w:color="A6A6A6"/>
            </w:tcBorders>
            <w:shd w:val="clear" w:color="auto" w:fill="auto"/>
            <w:noWrap/>
            <w:vAlign w:val="bottom"/>
            <w:hideMark/>
          </w:tcPr>
          <w:p w14:paraId="050590D2" w14:textId="77777777" w:rsidR="00DA44E7" w:rsidRPr="00175452" w:rsidRDefault="00DA44E7" w:rsidP="00A060BC">
            <w:pPr>
              <w:spacing w:after="0" w:line="240" w:lineRule="auto"/>
              <w:jc w:val="center"/>
              <w:rPr>
                <w:rFonts w:eastAsia="Times New Roman" w:cs="Times New Roman"/>
                <w:color w:val="000000"/>
                <w:sz w:val="20"/>
              </w:rPr>
            </w:pPr>
            <w:r w:rsidRPr="00175452">
              <w:rPr>
                <w:rFonts w:eastAsia="Times New Roman" w:cs="Times New Roman"/>
                <w:color w:val="000000"/>
                <w:sz w:val="20"/>
              </w:rPr>
              <w:t>50,740</w:t>
            </w:r>
          </w:p>
        </w:tc>
        <w:tc>
          <w:tcPr>
            <w:tcW w:w="2622" w:type="dxa"/>
            <w:tcBorders>
              <w:top w:val="nil"/>
              <w:left w:val="nil"/>
              <w:bottom w:val="single" w:sz="4" w:space="0" w:color="A6A6A6"/>
              <w:right w:val="single" w:sz="8" w:space="0" w:color="auto"/>
            </w:tcBorders>
            <w:shd w:val="clear" w:color="auto" w:fill="auto"/>
            <w:noWrap/>
            <w:vAlign w:val="bottom"/>
            <w:hideMark/>
          </w:tcPr>
          <w:p w14:paraId="41917565" w14:textId="77777777" w:rsidR="00DA44E7" w:rsidRPr="00175452" w:rsidRDefault="00DA44E7" w:rsidP="00A060BC">
            <w:pPr>
              <w:spacing w:after="0" w:line="240" w:lineRule="auto"/>
              <w:jc w:val="center"/>
              <w:rPr>
                <w:rFonts w:eastAsia="Times New Roman" w:cs="Times New Roman"/>
                <w:color w:val="000000"/>
                <w:sz w:val="20"/>
              </w:rPr>
            </w:pPr>
            <w:r w:rsidRPr="00175452">
              <w:rPr>
                <w:rFonts w:eastAsia="Times New Roman" w:cs="Times New Roman"/>
                <w:color w:val="000000"/>
                <w:sz w:val="20"/>
              </w:rPr>
              <w:t>24.2%</w:t>
            </w:r>
          </w:p>
        </w:tc>
      </w:tr>
      <w:tr w:rsidR="00DA44E7" w:rsidRPr="00175452" w14:paraId="79DC6604" w14:textId="77777777" w:rsidTr="00A060BC">
        <w:trPr>
          <w:trHeight w:val="187"/>
        </w:trPr>
        <w:tc>
          <w:tcPr>
            <w:tcW w:w="2260" w:type="dxa"/>
            <w:tcBorders>
              <w:top w:val="nil"/>
              <w:left w:val="single" w:sz="8" w:space="0" w:color="auto"/>
              <w:bottom w:val="single" w:sz="8" w:space="0" w:color="auto"/>
              <w:right w:val="nil"/>
            </w:tcBorders>
            <w:shd w:val="clear" w:color="000000" w:fill="5B9BD5"/>
            <w:noWrap/>
            <w:vAlign w:val="center"/>
            <w:hideMark/>
          </w:tcPr>
          <w:p w14:paraId="4749450F" w14:textId="77777777" w:rsidR="00DA44E7" w:rsidRPr="00175452" w:rsidRDefault="00DA44E7" w:rsidP="00A060BC">
            <w:pPr>
              <w:spacing w:after="0" w:line="240" w:lineRule="auto"/>
              <w:rPr>
                <w:rFonts w:eastAsia="Times New Roman" w:cs="Times New Roman"/>
                <w:b/>
                <w:bCs/>
                <w:color w:val="FFFFFF"/>
                <w:sz w:val="20"/>
              </w:rPr>
            </w:pPr>
            <w:r w:rsidRPr="00175452">
              <w:rPr>
                <w:rFonts w:eastAsia="Times New Roman" w:cs="Times New Roman"/>
                <w:b/>
                <w:bCs/>
                <w:color w:val="FFFFFF"/>
                <w:sz w:val="20"/>
              </w:rPr>
              <w:t>55 years and over</w:t>
            </w:r>
          </w:p>
        </w:tc>
        <w:tc>
          <w:tcPr>
            <w:tcW w:w="1265" w:type="dxa"/>
            <w:tcBorders>
              <w:top w:val="nil"/>
              <w:left w:val="single" w:sz="8" w:space="0" w:color="auto"/>
              <w:bottom w:val="single" w:sz="4" w:space="0" w:color="auto"/>
              <w:right w:val="single" w:sz="4" w:space="0" w:color="A6A6A6"/>
            </w:tcBorders>
            <w:shd w:val="clear" w:color="auto" w:fill="auto"/>
            <w:noWrap/>
            <w:vAlign w:val="bottom"/>
            <w:hideMark/>
          </w:tcPr>
          <w:p w14:paraId="60EB2531" w14:textId="77777777" w:rsidR="00DA44E7" w:rsidRPr="00175452" w:rsidRDefault="00DA44E7" w:rsidP="00A060BC">
            <w:pPr>
              <w:spacing w:after="0" w:line="240" w:lineRule="auto"/>
              <w:jc w:val="center"/>
              <w:rPr>
                <w:rFonts w:eastAsia="Times New Roman" w:cs="Times New Roman"/>
                <w:color w:val="000000"/>
                <w:sz w:val="20"/>
              </w:rPr>
            </w:pPr>
            <w:r w:rsidRPr="00175452">
              <w:rPr>
                <w:rFonts w:eastAsia="Times New Roman" w:cs="Times New Roman"/>
                <w:color w:val="000000"/>
                <w:sz w:val="20"/>
              </w:rPr>
              <w:t>6,460</w:t>
            </w:r>
          </w:p>
        </w:tc>
        <w:tc>
          <w:tcPr>
            <w:tcW w:w="2079" w:type="dxa"/>
            <w:tcBorders>
              <w:top w:val="nil"/>
              <w:left w:val="nil"/>
              <w:bottom w:val="single" w:sz="4" w:space="0" w:color="auto"/>
              <w:right w:val="single" w:sz="4" w:space="0" w:color="A6A6A6"/>
            </w:tcBorders>
            <w:shd w:val="clear" w:color="auto" w:fill="auto"/>
            <w:noWrap/>
            <w:vAlign w:val="bottom"/>
            <w:hideMark/>
          </w:tcPr>
          <w:p w14:paraId="37FEB35A" w14:textId="77777777" w:rsidR="00DA44E7" w:rsidRPr="00175452" w:rsidRDefault="00DA44E7" w:rsidP="00A060BC">
            <w:pPr>
              <w:spacing w:after="0" w:line="240" w:lineRule="auto"/>
              <w:jc w:val="center"/>
              <w:rPr>
                <w:rFonts w:eastAsia="Times New Roman" w:cs="Times New Roman"/>
                <w:color w:val="000000"/>
                <w:sz w:val="20"/>
              </w:rPr>
            </w:pPr>
            <w:r w:rsidRPr="00175452">
              <w:rPr>
                <w:rFonts w:eastAsia="Times New Roman" w:cs="Times New Roman"/>
                <w:color w:val="000000"/>
                <w:sz w:val="20"/>
              </w:rPr>
              <w:t>24.8%</w:t>
            </w:r>
          </w:p>
        </w:tc>
        <w:tc>
          <w:tcPr>
            <w:tcW w:w="1265" w:type="dxa"/>
            <w:tcBorders>
              <w:top w:val="nil"/>
              <w:left w:val="nil"/>
              <w:bottom w:val="single" w:sz="4" w:space="0" w:color="auto"/>
              <w:right w:val="single" w:sz="4" w:space="0" w:color="A6A6A6"/>
            </w:tcBorders>
            <w:shd w:val="clear" w:color="auto" w:fill="auto"/>
            <w:noWrap/>
            <w:vAlign w:val="bottom"/>
            <w:hideMark/>
          </w:tcPr>
          <w:p w14:paraId="41334269" w14:textId="77777777" w:rsidR="00DA44E7" w:rsidRPr="00175452" w:rsidRDefault="00DA44E7" w:rsidP="00A060BC">
            <w:pPr>
              <w:spacing w:after="0" w:line="240" w:lineRule="auto"/>
              <w:jc w:val="center"/>
              <w:rPr>
                <w:rFonts w:eastAsia="Times New Roman" w:cs="Times New Roman"/>
                <w:color w:val="000000"/>
                <w:sz w:val="20"/>
              </w:rPr>
            </w:pPr>
            <w:r w:rsidRPr="00175452">
              <w:rPr>
                <w:rFonts w:eastAsia="Times New Roman" w:cs="Times New Roman"/>
                <w:color w:val="000000"/>
                <w:sz w:val="20"/>
              </w:rPr>
              <w:t>50,655</w:t>
            </w:r>
          </w:p>
        </w:tc>
        <w:tc>
          <w:tcPr>
            <w:tcW w:w="2622" w:type="dxa"/>
            <w:tcBorders>
              <w:top w:val="nil"/>
              <w:left w:val="nil"/>
              <w:bottom w:val="single" w:sz="4" w:space="0" w:color="auto"/>
              <w:right w:val="single" w:sz="8" w:space="0" w:color="auto"/>
            </w:tcBorders>
            <w:shd w:val="clear" w:color="auto" w:fill="auto"/>
            <w:noWrap/>
            <w:vAlign w:val="bottom"/>
            <w:hideMark/>
          </w:tcPr>
          <w:p w14:paraId="66879141" w14:textId="77777777" w:rsidR="00DA44E7" w:rsidRPr="00175452" w:rsidRDefault="00DA44E7" w:rsidP="00A060BC">
            <w:pPr>
              <w:spacing w:after="0" w:line="240" w:lineRule="auto"/>
              <w:jc w:val="center"/>
              <w:rPr>
                <w:rFonts w:eastAsia="Times New Roman" w:cs="Times New Roman"/>
                <w:color w:val="000000"/>
                <w:sz w:val="20"/>
              </w:rPr>
            </w:pPr>
            <w:r w:rsidRPr="00175452">
              <w:rPr>
                <w:rFonts w:eastAsia="Times New Roman" w:cs="Times New Roman"/>
                <w:color w:val="000000"/>
                <w:sz w:val="20"/>
              </w:rPr>
              <w:t>24.1%</w:t>
            </w:r>
          </w:p>
        </w:tc>
      </w:tr>
      <w:tr w:rsidR="00DA44E7" w:rsidRPr="00175452" w14:paraId="58599F29" w14:textId="77777777" w:rsidTr="00A060BC">
        <w:trPr>
          <w:trHeight w:val="60"/>
        </w:trPr>
        <w:tc>
          <w:tcPr>
            <w:tcW w:w="2260" w:type="dxa"/>
            <w:tcBorders>
              <w:top w:val="nil"/>
              <w:left w:val="single" w:sz="8" w:space="0" w:color="auto"/>
              <w:bottom w:val="single" w:sz="8" w:space="0" w:color="auto"/>
              <w:right w:val="nil"/>
            </w:tcBorders>
            <w:shd w:val="clear" w:color="000000" w:fill="5B9BD5"/>
            <w:noWrap/>
            <w:vAlign w:val="center"/>
            <w:hideMark/>
          </w:tcPr>
          <w:p w14:paraId="1742ADE1" w14:textId="77777777" w:rsidR="00DA44E7" w:rsidRPr="00175452" w:rsidRDefault="00DA44E7" w:rsidP="00A060BC">
            <w:pPr>
              <w:spacing w:after="0" w:line="240" w:lineRule="auto"/>
              <w:rPr>
                <w:rFonts w:eastAsia="Times New Roman" w:cs="Times New Roman"/>
                <w:b/>
                <w:bCs/>
                <w:color w:val="FFFFFF"/>
                <w:sz w:val="20"/>
              </w:rPr>
            </w:pPr>
            <w:r w:rsidRPr="00175452">
              <w:rPr>
                <w:rFonts w:eastAsia="Times New Roman" w:cs="Times New Roman"/>
                <w:b/>
                <w:bCs/>
                <w:color w:val="FFFFFF"/>
                <w:sz w:val="20"/>
              </w:rPr>
              <w:t>Total</w:t>
            </w:r>
          </w:p>
        </w:tc>
        <w:tc>
          <w:tcPr>
            <w:tcW w:w="1265" w:type="dxa"/>
            <w:tcBorders>
              <w:top w:val="nil"/>
              <w:left w:val="single" w:sz="8" w:space="0" w:color="auto"/>
              <w:bottom w:val="single" w:sz="8" w:space="0" w:color="auto"/>
              <w:right w:val="single" w:sz="4" w:space="0" w:color="A6A6A6"/>
            </w:tcBorders>
            <w:shd w:val="clear" w:color="auto" w:fill="auto"/>
            <w:noWrap/>
            <w:vAlign w:val="bottom"/>
            <w:hideMark/>
          </w:tcPr>
          <w:p w14:paraId="74153F1E" w14:textId="77777777" w:rsidR="00DA44E7" w:rsidRPr="00175452" w:rsidRDefault="00DA44E7" w:rsidP="00A060BC">
            <w:pPr>
              <w:spacing w:after="0" w:line="240" w:lineRule="auto"/>
              <w:jc w:val="center"/>
              <w:rPr>
                <w:rFonts w:eastAsia="Times New Roman" w:cs="Times New Roman"/>
                <w:b/>
                <w:color w:val="000000"/>
                <w:sz w:val="20"/>
              </w:rPr>
            </w:pPr>
            <w:r w:rsidRPr="00175452">
              <w:rPr>
                <w:rFonts w:eastAsia="Times New Roman" w:cs="Times New Roman"/>
                <w:b/>
                <w:color w:val="000000"/>
                <w:sz w:val="20"/>
              </w:rPr>
              <w:t>26,010</w:t>
            </w:r>
          </w:p>
        </w:tc>
        <w:tc>
          <w:tcPr>
            <w:tcW w:w="2079" w:type="dxa"/>
            <w:tcBorders>
              <w:top w:val="nil"/>
              <w:left w:val="nil"/>
              <w:bottom w:val="single" w:sz="8" w:space="0" w:color="auto"/>
              <w:right w:val="single" w:sz="4" w:space="0" w:color="A6A6A6"/>
            </w:tcBorders>
            <w:shd w:val="clear" w:color="auto" w:fill="auto"/>
            <w:noWrap/>
            <w:vAlign w:val="bottom"/>
            <w:hideMark/>
          </w:tcPr>
          <w:p w14:paraId="6E234C72" w14:textId="4F102318" w:rsidR="00DA44E7" w:rsidRPr="00175452" w:rsidRDefault="00DA44E7" w:rsidP="00A060BC">
            <w:pPr>
              <w:spacing w:after="0" w:line="240" w:lineRule="auto"/>
              <w:jc w:val="center"/>
              <w:rPr>
                <w:rFonts w:eastAsia="Times New Roman" w:cs="Times New Roman"/>
                <w:b/>
                <w:color w:val="000000"/>
                <w:sz w:val="20"/>
              </w:rPr>
            </w:pPr>
            <w:r w:rsidRPr="00175452">
              <w:rPr>
                <w:rFonts w:eastAsia="Times New Roman" w:cs="Times New Roman"/>
                <w:b/>
                <w:color w:val="000000"/>
                <w:sz w:val="20"/>
              </w:rPr>
              <w:t>100</w:t>
            </w:r>
            <w:r w:rsidR="00722107">
              <w:rPr>
                <w:rFonts w:eastAsia="Times New Roman" w:cs="Times New Roman"/>
                <w:b/>
                <w:color w:val="000000"/>
                <w:sz w:val="20"/>
              </w:rPr>
              <w:t>.0</w:t>
            </w:r>
            <w:r w:rsidRPr="00175452">
              <w:rPr>
                <w:rFonts w:eastAsia="Times New Roman" w:cs="Times New Roman"/>
                <w:b/>
                <w:color w:val="000000"/>
                <w:sz w:val="20"/>
              </w:rPr>
              <w:t>%</w:t>
            </w:r>
          </w:p>
        </w:tc>
        <w:tc>
          <w:tcPr>
            <w:tcW w:w="1265" w:type="dxa"/>
            <w:tcBorders>
              <w:top w:val="nil"/>
              <w:left w:val="nil"/>
              <w:bottom w:val="single" w:sz="8" w:space="0" w:color="auto"/>
              <w:right w:val="single" w:sz="4" w:space="0" w:color="A6A6A6"/>
            </w:tcBorders>
            <w:shd w:val="clear" w:color="auto" w:fill="auto"/>
            <w:noWrap/>
            <w:vAlign w:val="bottom"/>
            <w:hideMark/>
          </w:tcPr>
          <w:p w14:paraId="5B3896A4" w14:textId="77777777" w:rsidR="00DA44E7" w:rsidRPr="00175452" w:rsidRDefault="00DA44E7" w:rsidP="00A060BC">
            <w:pPr>
              <w:spacing w:after="0" w:line="240" w:lineRule="auto"/>
              <w:jc w:val="center"/>
              <w:rPr>
                <w:rFonts w:eastAsia="Times New Roman" w:cs="Times New Roman"/>
                <w:b/>
                <w:color w:val="000000"/>
                <w:sz w:val="20"/>
              </w:rPr>
            </w:pPr>
            <w:r w:rsidRPr="00175452">
              <w:rPr>
                <w:rFonts w:eastAsia="Times New Roman" w:cs="Times New Roman"/>
                <w:b/>
                <w:color w:val="000000"/>
                <w:sz w:val="20"/>
              </w:rPr>
              <w:t>209,890</w:t>
            </w:r>
          </w:p>
        </w:tc>
        <w:tc>
          <w:tcPr>
            <w:tcW w:w="2622" w:type="dxa"/>
            <w:tcBorders>
              <w:top w:val="nil"/>
              <w:left w:val="nil"/>
              <w:bottom w:val="single" w:sz="8" w:space="0" w:color="auto"/>
              <w:right w:val="single" w:sz="8" w:space="0" w:color="auto"/>
            </w:tcBorders>
            <w:shd w:val="clear" w:color="auto" w:fill="auto"/>
            <w:noWrap/>
            <w:vAlign w:val="bottom"/>
            <w:hideMark/>
          </w:tcPr>
          <w:p w14:paraId="24F7FAB4" w14:textId="77777777" w:rsidR="00DA44E7" w:rsidRPr="00175452" w:rsidRDefault="00DA44E7" w:rsidP="00A060BC">
            <w:pPr>
              <w:spacing w:after="0" w:line="240" w:lineRule="auto"/>
              <w:jc w:val="center"/>
              <w:rPr>
                <w:rFonts w:eastAsia="Times New Roman" w:cs="Times New Roman"/>
                <w:b/>
                <w:color w:val="000000"/>
                <w:sz w:val="20"/>
              </w:rPr>
            </w:pPr>
            <w:r w:rsidRPr="00175452">
              <w:rPr>
                <w:rFonts w:eastAsia="Times New Roman" w:cs="Times New Roman"/>
                <w:b/>
                <w:color w:val="000000"/>
                <w:sz w:val="20"/>
              </w:rPr>
              <w:t>100.0%</w:t>
            </w:r>
          </w:p>
        </w:tc>
      </w:tr>
    </w:tbl>
    <w:p w14:paraId="013BC496" w14:textId="77777777" w:rsidR="00DA44E7" w:rsidRPr="00E32053" w:rsidRDefault="00DA44E7" w:rsidP="00DA44E7">
      <w:pPr>
        <w:rPr>
          <w:sz w:val="16"/>
          <w:szCs w:val="16"/>
        </w:rPr>
      </w:pPr>
      <w:r w:rsidRPr="00E32053">
        <w:rPr>
          <w:sz w:val="16"/>
          <w:szCs w:val="16"/>
        </w:rPr>
        <w:t>Source: Statistics Canada, 2016 Census. Custom Data Tabulation.</w:t>
      </w:r>
    </w:p>
    <w:p w14:paraId="6CF1560D" w14:textId="5BEDE2B5" w:rsidR="00DA44E7" w:rsidRPr="00E32053" w:rsidRDefault="00DA44E7" w:rsidP="53EE565F">
      <w:pPr>
        <w:spacing w:line="259" w:lineRule="auto"/>
        <w:rPr>
          <w:sz w:val="22"/>
        </w:rPr>
      </w:pPr>
      <w:r w:rsidRPr="39D91066">
        <w:rPr>
          <w:sz w:val="22"/>
        </w:rPr>
        <w:t xml:space="preserve">Overall, </w:t>
      </w:r>
      <w:r w:rsidR="009939CC" w:rsidRPr="39D91066">
        <w:rPr>
          <w:sz w:val="22"/>
        </w:rPr>
        <w:t>41.2</w:t>
      </w:r>
      <w:r w:rsidRPr="39D91066">
        <w:rPr>
          <w:sz w:val="22"/>
        </w:rPr>
        <w:t xml:space="preserve">% of </w:t>
      </w:r>
      <w:r w:rsidR="00F33B4A">
        <w:rPr>
          <w:sz w:val="22"/>
        </w:rPr>
        <w:t>individuals</w:t>
      </w:r>
      <w:r w:rsidRPr="39D91066">
        <w:rPr>
          <w:sz w:val="22"/>
        </w:rPr>
        <w:t xml:space="preserve"> reporting employment in the retail trade sector reported w</w:t>
      </w:r>
      <w:r w:rsidR="009939CC" w:rsidRPr="39D91066">
        <w:rPr>
          <w:sz w:val="22"/>
        </w:rPr>
        <w:t>orking part-time</w:t>
      </w:r>
      <w:r w:rsidR="5E080D05" w:rsidRPr="39D91066">
        <w:rPr>
          <w:sz w:val="22"/>
        </w:rPr>
        <w:t xml:space="preserve">. </w:t>
      </w:r>
      <w:r w:rsidR="16A43E26" w:rsidRPr="39D91066">
        <w:rPr>
          <w:sz w:val="22"/>
        </w:rPr>
        <w:t>Among all other indust</w:t>
      </w:r>
      <w:r w:rsidR="4F30C805" w:rsidRPr="39D91066">
        <w:rPr>
          <w:sz w:val="22"/>
        </w:rPr>
        <w:t>r</w:t>
      </w:r>
      <w:r w:rsidR="16A43E26" w:rsidRPr="39D91066">
        <w:rPr>
          <w:sz w:val="22"/>
        </w:rPr>
        <w:t xml:space="preserve">ies, only </w:t>
      </w:r>
      <w:r w:rsidR="009939CC" w:rsidRPr="39D91066">
        <w:rPr>
          <w:sz w:val="22"/>
        </w:rPr>
        <w:t>23.5</w:t>
      </w:r>
      <w:r w:rsidRPr="39D91066">
        <w:rPr>
          <w:sz w:val="22"/>
        </w:rPr>
        <w:t xml:space="preserve">% </w:t>
      </w:r>
      <w:r w:rsidR="48071885" w:rsidRPr="39D91066">
        <w:rPr>
          <w:sz w:val="22"/>
        </w:rPr>
        <w:t xml:space="preserve">of Niagara’s residents were employed in a part-time capacity </w:t>
      </w:r>
      <w:r w:rsidR="00946934">
        <w:rPr>
          <w:sz w:val="22"/>
        </w:rPr>
        <w:t>(see</w:t>
      </w:r>
      <w:r w:rsidR="0C51F48A" w:rsidRPr="39D91066">
        <w:rPr>
          <w:sz w:val="22"/>
        </w:rPr>
        <w:t xml:space="preserve"> </w:t>
      </w:r>
      <w:r w:rsidR="00626E41" w:rsidRPr="39D91066">
        <w:rPr>
          <w:sz w:val="22"/>
        </w:rPr>
        <w:t>Figure 1</w:t>
      </w:r>
      <w:r w:rsidR="00946934">
        <w:rPr>
          <w:sz w:val="22"/>
        </w:rPr>
        <w:t>)</w:t>
      </w:r>
      <w:r w:rsidRPr="39D91066">
        <w:rPr>
          <w:sz w:val="22"/>
        </w:rPr>
        <w:t>.</w:t>
      </w:r>
      <w:r w:rsidR="00963B50" w:rsidRPr="39D91066">
        <w:rPr>
          <w:sz w:val="22"/>
        </w:rPr>
        <w:t xml:space="preserve"> </w:t>
      </w:r>
      <w:r w:rsidR="00626E41" w:rsidRPr="39D91066">
        <w:rPr>
          <w:sz w:val="22"/>
        </w:rPr>
        <w:t xml:space="preserve">These data show that, </w:t>
      </w:r>
      <w:r w:rsidR="121FD28F" w:rsidRPr="39D91066">
        <w:rPr>
          <w:sz w:val="22"/>
        </w:rPr>
        <w:t xml:space="preserve">across </w:t>
      </w:r>
      <w:r w:rsidR="00626E41" w:rsidRPr="39D91066">
        <w:rPr>
          <w:sz w:val="22"/>
        </w:rPr>
        <w:t xml:space="preserve">all age groups, </w:t>
      </w:r>
      <w:r w:rsidR="23B681DD" w:rsidRPr="39D91066">
        <w:rPr>
          <w:sz w:val="22"/>
        </w:rPr>
        <w:t xml:space="preserve">individuals </w:t>
      </w:r>
      <w:r w:rsidR="00963B50" w:rsidRPr="39D91066">
        <w:rPr>
          <w:sz w:val="22"/>
        </w:rPr>
        <w:t xml:space="preserve">employed in the retail trade industry are more likely to work part-time than their counterparts in other industries. </w:t>
      </w:r>
    </w:p>
    <w:p w14:paraId="647D12FE" w14:textId="1561A708" w:rsidR="00C7755A" w:rsidRPr="00E32053" w:rsidRDefault="00C7755A" w:rsidP="00DA44E7">
      <w:pPr>
        <w:spacing w:after="0" w:line="257" w:lineRule="auto"/>
        <w:rPr>
          <w:color w:val="0070C0"/>
          <w:sz w:val="22"/>
        </w:rPr>
      </w:pPr>
      <w:r>
        <w:rPr>
          <w:color w:val="0070C0"/>
          <w:sz w:val="22"/>
        </w:rPr>
        <w:t>Figure</w:t>
      </w:r>
      <w:r w:rsidR="00DA44E7">
        <w:rPr>
          <w:color w:val="0070C0"/>
          <w:sz w:val="22"/>
        </w:rPr>
        <w:t xml:space="preserve"> </w:t>
      </w:r>
      <w:r>
        <w:rPr>
          <w:color w:val="0070C0"/>
          <w:sz w:val="22"/>
        </w:rPr>
        <w:t>1</w:t>
      </w:r>
      <w:r w:rsidR="00DA44E7" w:rsidRPr="00E32053">
        <w:rPr>
          <w:color w:val="0070C0"/>
          <w:sz w:val="22"/>
        </w:rPr>
        <w:t xml:space="preserve"> </w:t>
      </w:r>
      <w:r w:rsidR="006C3F4D">
        <w:rPr>
          <w:color w:val="0070C0"/>
          <w:sz w:val="22"/>
        </w:rPr>
        <w:t>P</w:t>
      </w:r>
      <w:r w:rsidR="00404346">
        <w:rPr>
          <w:color w:val="0070C0"/>
          <w:sz w:val="22"/>
        </w:rPr>
        <w:t>ercent</w:t>
      </w:r>
      <w:r w:rsidR="005000D5">
        <w:rPr>
          <w:color w:val="0070C0"/>
          <w:sz w:val="22"/>
        </w:rPr>
        <w:t>age</w:t>
      </w:r>
      <w:r w:rsidR="006C3F4D">
        <w:rPr>
          <w:color w:val="0070C0"/>
          <w:sz w:val="22"/>
        </w:rPr>
        <w:t xml:space="preserve"> of </w:t>
      </w:r>
      <w:r w:rsidR="00404346">
        <w:rPr>
          <w:color w:val="0070C0"/>
          <w:sz w:val="22"/>
        </w:rPr>
        <w:t xml:space="preserve">each age group working </w:t>
      </w:r>
      <w:r w:rsidR="006C3F4D">
        <w:rPr>
          <w:color w:val="0070C0"/>
          <w:sz w:val="22"/>
        </w:rPr>
        <w:t>part</w:t>
      </w:r>
      <w:r w:rsidR="00404346">
        <w:rPr>
          <w:color w:val="0070C0"/>
          <w:sz w:val="22"/>
        </w:rPr>
        <w:t xml:space="preserve"> </w:t>
      </w:r>
      <w:r w:rsidR="006C3F4D">
        <w:rPr>
          <w:color w:val="0070C0"/>
          <w:sz w:val="22"/>
        </w:rPr>
        <w:t>time</w:t>
      </w:r>
      <w:r w:rsidR="00DA44E7" w:rsidRPr="00E32053">
        <w:rPr>
          <w:color w:val="0070C0"/>
          <w:sz w:val="22"/>
        </w:rPr>
        <w:t>, Niagara, 2016 Census</w:t>
      </w:r>
      <w:r w:rsidR="004F7595" w:rsidRPr="004F7595">
        <w:rPr>
          <w:noProof/>
          <w:lang w:val="en-US"/>
        </w:rPr>
        <w:t xml:space="preserve"> </w:t>
      </w:r>
      <w:r w:rsidR="004F7595">
        <w:rPr>
          <w:noProof/>
          <w:lang w:eastAsia="en-CA"/>
        </w:rPr>
        <w:drawing>
          <wp:inline distT="0" distB="0" distL="0" distR="0" wp14:anchorId="7A950925" wp14:editId="768D4FB6">
            <wp:extent cx="6029325" cy="14478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45CEE0" w14:textId="77777777" w:rsidR="00DA44E7" w:rsidRPr="00E32053" w:rsidRDefault="00DA44E7" w:rsidP="009939CC">
      <w:pPr>
        <w:spacing w:after="0" w:line="257" w:lineRule="auto"/>
        <w:contextualSpacing/>
        <w:rPr>
          <w:sz w:val="16"/>
          <w:szCs w:val="16"/>
        </w:rPr>
      </w:pPr>
      <w:r w:rsidRPr="00E32053">
        <w:rPr>
          <w:sz w:val="16"/>
          <w:szCs w:val="16"/>
        </w:rPr>
        <w:t>Source: Statistics Canada, 2016 Census. Custom Data Tabulation.</w:t>
      </w:r>
    </w:p>
    <w:p w14:paraId="1E8DC7FE" w14:textId="6F45B144" w:rsidR="00604EDF" w:rsidRPr="00604EDF" w:rsidRDefault="00604EDF" w:rsidP="00604EDF">
      <w:pPr>
        <w:pStyle w:val="Heading2"/>
      </w:pPr>
      <w:r>
        <w:lastRenderedPageBreak/>
        <w:t>Educational Attainment</w:t>
      </w:r>
    </w:p>
    <w:p w14:paraId="4905ACD2" w14:textId="158F6AB3" w:rsidR="00B67151" w:rsidRPr="00E458DF" w:rsidRDefault="27D03962" w:rsidP="53EE565F">
      <w:pPr>
        <w:rPr>
          <w:sz w:val="22"/>
        </w:rPr>
      </w:pPr>
      <w:r w:rsidRPr="39D91066">
        <w:rPr>
          <w:sz w:val="22"/>
        </w:rPr>
        <w:t xml:space="preserve">Census data also demonstrate that individuals working </w:t>
      </w:r>
      <w:r w:rsidR="002F087D">
        <w:rPr>
          <w:sz w:val="22"/>
        </w:rPr>
        <w:t xml:space="preserve">full time </w:t>
      </w:r>
      <w:r w:rsidRPr="39D91066">
        <w:rPr>
          <w:sz w:val="22"/>
        </w:rPr>
        <w:t xml:space="preserve">in retail trade </w:t>
      </w:r>
      <w:r w:rsidR="0FCFD7EE" w:rsidRPr="39D91066">
        <w:rPr>
          <w:sz w:val="22"/>
        </w:rPr>
        <w:t xml:space="preserve">report lower levels of post-secondary education completion. </w:t>
      </w:r>
      <w:r w:rsidR="0032FC7E" w:rsidRPr="39D91066">
        <w:rPr>
          <w:sz w:val="22"/>
        </w:rPr>
        <w:t xml:space="preserve">Approximately </w:t>
      </w:r>
      <w:r w:rsidR="00425F7B">
        <w:rPr>
          <w:sz w:val="22"/>
        </w:rPr>
        <w:t>8.0</w:t>
      </w:r>
      <w:r w:rsidR="00B67151" w:rsidRPr="39D91066">
        <w:rPr>
          <w:sz w:val="22"/>
        </w:rPr>
        <w:t xml:space="preserve">% of </w:t>
      </w:r>
      <w:r w:rsidR="00425F7B">
        <w:rPr>
          <w:sz w:val="22"/>
        </w:rPr>
        <w:t xml:space="preserve">full-time </w:t>
      </w:r>
      <w:r w:rsidR="00B67151" w:rsidRPr="39D91066">
        <w:rPr>
          <w:sz w:val="22"/>
        </w:rPr>
        <w:t xml:space="preserve">retail trade employees have </w:t>
      </w:r>
      <w:r w:rsidR="00B67151" w:rsidRPr="39D91066">
        <w:rPr>
          <w:i/>
          <w:iCs/>
          <w:sz w:val="22"/>
        </w:rPr>
        <w:t>no certificate, diploma or degree</w:t>
      </w:r>
      <w:r w:rsidR="00B67151" w:rsidRPr="39D91066">
        <w:rPr>
          <w:sz w:val="22"/>
        </w:rPr>
        <w:t xml:space="preserve"> compared to </w:t>
      </w:r>
      <w:r w:rsidR="00425F7B">
        <w:rPr>
          <w:sz w:val="22"/>
        </w:rPr>
        <w:t>6.6</w:t>
      </w:r>
      <w:r w:rsidR="00B67151" w:rsidRPr="39D91066">
        <w:rPr>
          <w:sz w:val="22"/>
        </w:rPr>
        <w:t xml:space="preserve">% of Niagara’s entire </w:t>
      </w:r>
      <w:r w:rsidR="00425F7B">
        <w:rPr>
          <w:sz w:val="22"/>
        </w:rPr>
        <w:t xml:space="preserve">full-time </w:t>
      </w:r>
      <w:r w:rsidR="00B67151" w:rsidRPr="39D91066">
        <w:rPr>
          <w:sz w:val="22"/>
        </w:rPr>
        <w:t>labour force. Moreover, 45.</w:t>
      </w:r>
      <w:r w:rsidR="00425F7B">
        <w:rPr>
          <w:sz w:val="22"/>
        </w:rPr>
        <w:t>2</w:t>
      </w:r>
      <w:r w:rsidR="00B67151" w:rsidRPr="39D91066">
        <w:rPr>
          <w:sz w:val="22"/>
        </w:rPr>
        <w:t xml:space="preserve">% of </w:t>
      </w:r>
      <w:r w:rsidR="00425F7B">
        <w:rPr>
          <w:sz w:val="22"/>
        </w:rPr>
        <w:t xml:space="preserve">full-time </w:t>
      </w:r>
      <w:r w:rsidR="00B67151" w:rsidRPr="39D91066">
        <w:rPr>
          <w:sz w:val="22"/>
        </w:rPr>
        <w:t xml:space="preserve">retail trade employees have a </w:t>
      </w:r>
      <w:r w:rsidR="00B67151" w:rsidRPr="39D91066">
        <w:rPr>
          <w:i/>
          <w:iCs/>
          <w:sz w:val="22"/>
        </w:rPr>
        <w:t>high school diploma</w:t>
      </w:r>
      <w:r w:rsidR="00B67151" w:rsidRPr="39D91066">
        <w:rPr>
          <w:sz w:val="22"/>
        </w:rPr>
        <w:t xml:space="preserve"> as their highest level of educational attainment compared to </w:t>
      </w:r>
      <w:r w:rsidR="00425F7B">
        <w:rPr>
          <w:sz w:val="22"/>
        </w:rPr>
        <w:t>28.9</w:t>
      </w:r>
      <w:r w:rsidR="00B67151" w:rsidRPr="39D91066">
        <w:rPr>
          <w:sz w:val="22"/>
        </w:rPr>
        <w:t xml:space="preserve">% of Niagara </w:t>
      </w:r>
      <w:r w:rsidR="00BD186F" w:rsidRPr="39D91066">
        <w:rPr>
          <w:sz w:val="22"/>
        </w:rPr>
        <w:t>labour force</w:t>
      </w:r>
      <w:r w:rsidR="77C31BFC" w:rsidRPr="39D91066">
        <w:rPr>
          <w:sz w:val="22"/>
        </w:rPr>
        <w:t>;</w:t>
      </w:r>
      <w:r w:rsidR="00B67151" w:rsidRPr="39D91066">
        <w:rPr>
          <w:sz w:val="22"/>
        </w:rPr>
        <w:t xml:space="preserve"> </w:t>
      </w:r>
      <w:r w:rsidR="00425F7B">
        <w:rPr>
          <w:sz w:val="22"/>
        </w:rPr>
        <w:t>46.8</w:t>
      </w:r>
      <w:r w:rsidR="00B67151" w:rsidRPr="39D91066">
        <w:rPr>
          <w:sz w:val="22"/>
        </w:rPr>
        <w:t xml:space="preserve">% </w:t>
      </w:r>
      <w:r w:rsidR="2B8931F5" w:rsidRPr="39D91066">
        <w:rPr>
          <w:sz w:val="22"/>
        </w:rPr>
        <w:t xml:space="preserve">of Niagara’s </w:t>
      </w:r>
      <w:r w:rsidR="00425F7B">
        <w:rPr>
          <w:sz w:val="22"/>
        </w:rPr>
        <w:t xml:space="preserve">full-time </w:t>
      </w:r>
      <w:r w:rsidR="2B8931F5" w:rsidRPr="39D91066">
        <w:rPr>
          <w:sz w:val="22"/>
        </w:rPr>
        <w:t xml:space="preserve">retail employees </w:t>
      </w:r>
      <w:r w:rsidR="00B67151" w:rsidRPr="39D91066">
        <w:rPr>
          <w:sz w:val="22"/>
        </w:rPr>
        <w:t xml:space="preserve">have a </w:t>
      </w:r>
      <w:r w:rsidR="00B67151" w:rsidRPr="39D91066">
        <w:rPr>
          <w:i/>
          <w:iCs/>
          <w:sz w:val="22"/>
        </w:rPr>
        <w:t xml:space="preserve">postsecondary certificate, diploma, or degree, </w:t>
      </w:r>
      <w:r w:rsidR="00B67151" w:rsidRPr="39D91066">
        <w:rPr>
          <w:sz w:val="22"/>
        </w:rPr>
        <w:t xml:space="preserve">compared to </w:t>
      </w:r>
      <w:r w:rsidR="00425F7B">
        <w:rPr>
          <w:sz w:val="22"/>
        </w:rPr>
        <w:t>64.5</w:t>
      </w:r>
      <w:r w:rsidR="00B67151" w:rsidRPr="39D91066">
        <w:rPr>
          <w:sz w:val="22"/>
        </w:rPr>
        <w:t xml:space="preserve">% of Niagara’s labour force (see Table </w:t>
      </w:r>
      <w:r w:rsidR="006C3F4D" w:rsidRPr="39D91066">
        <w:rPr>
          <w:sz w:val="22"/>
        </w:rPr>
        <w:t>2</w:t>
      </w:r>
      <w:r w:rsidR="00B67151" w:rsidRPr="39D91066">
        <w:rPr>
          <w:sz w:val="22"/>
        </w:rPr>
        <w:t xml:space="preserve">). </w:t>
      </w:r>
    </w:p>
    <w:p w14:paraId="79C3D192" w14:textId="39FD0954" w:rsidR="00B67151" w:rsidRPr="00E458DF" w:rsidRDefault="00B67151" w:rsidP="00B67151">
      <w:pPr>
        <w:spacing w:after="0" w:line="257" w:lineRule="auto"/>
        <w:rPr>
          <w:color w:val="0070C0"/>
          <w:sz w:val="22"/>
        </w:rPr>
      </w:pPr>
      <w:r w:rsidRPr="00E458DF">
        <w:rPr>
          <w:color w:val="0070C0"/>
          <w:sz w:val="22"/>
        </w:rPr>
        <w:t xml:space="preserve">Table </w:t>
      </w:r>
      <w:r w:rsidR="006C3F4D">
        <w:rPr>
          <w:color w:val="0070C0"/>
          <w:sz w:val="22"/>
        </w:rPr>
        <w:t>2</w:t>
      </w:r>
      <w:r w:rsidR="00B14325">
        <w:rPr>
          <w:color w:val="0070C0"/>
          <w:sz w:val="22"/>
        </w:rPr>
        <w:t>.</w:t>
      </w:r>
      <w:bookmarkStart w:id="1" w:name="_GoBack"/>
      <w:bookmarkEnd w:id="1"/>
      <w:r w:rsidRPr="00E458DF">
        <w:rPr>
          <w:color w:val="0070C0"/>
          <w:sz w:val="22"/>
        </w:rPr>
        <w:t xml:space="preserve"> Educational attainment</w:t>
      </w:r>
      <w:r>
        <w:rPr>
          <w:color w:val="0070C0"/>
          <w:sz w:val="22"/>
        </w:rPr>
        <w:t xml:space="preserve"> for</w:t>
      </w:r>
      <w:r w:rsidRPr="00E458DF">
        <w:rPr>
          <w:color w:val="0070C0"/>
          <w:sz w:val="22"/>
        </w:rPr>
        <w:t xml:space="preserve"> Niagara’s </w:t>
      </w:r>
      <w:r>
        <w:rPr>
          <w:color w:val="0070C0"/>
          <w:sz w:val="22"/>
        </w:rPr>
        <w:t>labour force</w:t>
      </w:r>
      <w:r w:rsidR="002F087D">
        <w:rPr>
          <w:color w:val="0070C0"/>
          <w:sz w:val="22"/>
        </w:rPr>
        <w:t xml:space="preserve"> working full time</w:t>
      </w:r>
      <w:r w:rsidRPr="00E458DF">
        <w:rPr>
          <w:color w:val="0070C0"/>
          <w:sz w:val="22"/>
        </w:rPr>
        <w:t>, 2016 Census</w:t>
      </w:r>
    </w:p>
    <w:tbl>
      <w:tblPr>
        <w:tblW w:w="9630" w:type="dxa"/>
        <w:tblInd w:w="-10" w:type="dxa"/>
        <w:tblLook w:val="04A0" w:firstRow="1" w:lastRow="0" w:firstColumn="1" w:lastColumn="0" w:noHBand="0" w:noVBand="1"/>
      </w:tblPr>
      <w:tblGrid>
        <w:gridCol w:w="5760"/>
        <w:gridCol w:w="1530"/>
        <w:gridCol w:w="2340"/>
      </w:tblGrid>
      <w:tr w:rsidR="00B67151" w:rsidRPr="00055F72" w14:paraId="6EA5919C" w14:textId="77777777" w:rsidTr="003C2440">
        <w:trPr>
          <w:trHeight w:val="200"/>
        </w:trPr>
        <w:tc>
          <w:tcPr>
            <w:tcW w:w="5760" w:type="dxa"/>
            <w:tcBorders>
              <w:top w:val="single" w:sz="4" w:space="0" w:color="auto"/>
              <w:left w:val="single" w:sz="8" w:space="0" w:color="auto"/>
              <w:bottom w:val="single" w:sz="8" w:space="0" w:color="auto"/>
              <w:right w:val="single" w:sz="8" w:space="0" w:color="auto"/>
            </w:tcBorders>
            <w:shd w:val="clear" w:color="000000" w:fill="5B9BD5"/>
            <w:vAlign w:val="center"/>
            <w:hideMark/>
          </w:tcPr>
          <w:p w14:paraId="684BD3B6" w14:textId="77777777" w:rsidR="00B67151" w:rsidRPr="00055F72" w:rsidRDefault="00B67151" w:rsidP="003C2440">
            <w:pPr>
              <w:spacing w:after="0" w:line="240" w:lineRule="auto"/>
              <w:jc w:val="center"/>
              <w:rPr>
                <w:rFonts w:eastAsia="Times New Roman" w:cs="Times New Roman"/>
                <w:b/>
                <w:bCs/>
                <w:color w:val="FFFFFF"/>
                <w:sz w:val="20"/>
                <w:szCs w:val="20"/>
                <w:lang w:val="en-US"/>
              </w:rPr>
            </w:pPr>
            <w:r w:rsidRPr="00055F72">
              <w:rPr>
                <w:rFonts w:eastAsia="Times New Roman" w:cs="Times New Roman"/>
                <w:b/>
                <w:bCs/>
                <w:color w:val="FFFFFF"/>
                <w:sz w:val="20"/>
                <w:szCs w:val="20"/>
                <w:lang w:val="en-US"/>
              </w:rPr>
              <w:t>Level of Educational Attainment </w:t>
            </w:r>
          </w:p>
        </w:tc>
        <w:tc>
          <w:tcPr>
            <w:tcW w:w="1530" w:type="dxa"/>
            <w:tcBorders>
              <w:top w:val="single" w:sz="4" w:space="0" w:color="auto"/>
              <w:left w:val="nil"/>
              <w:bottom w:val="single" w:sz="8" w:space="0" w:color="auto"/>
              <w:right w:val="single" w:sz="8" w:space="0" w:color="auto"/>
            </w:tcBorders>
            <w:shd w:val="clear" w:color="000000" w:fill="5B9BD5"/>
            <w:vAlign w:val="center"/>
            <w:hideMark/>
          </w:tcPr>
          <w:p w14:paraId="4005C8C1" w14:textId="77777777" w:rsidR="00B67151" w:rsidRPr="00055F72" w:rsidRDefault="00B67151" w:rsidP="003C2440">
            <w:pPr>
              <w:spacing w:after="0" w:line="240" w:lineRule="auto"/>
              <w:jc w:val="center"/>
              <w:rPr>
                <w:rFonts w:eastAsia="Times New Roman" w:cs="Times New Roman"/>
                <w:b/>
                <w:bCs/>
                <w:color w:val="FFFFFF"/>
                <w:sz w:val="20"/>
                <w:szCs w:val="20"/>
                <w:lang w:val="en-US"/>
              </w:rPr>
            </w:pPr>
            <w:r>
              <w:rPr>
                <w:rFonts w:eastAsia="Times New Roman" w:cs="Times New Roman"/>
                <w:b/>
                <w:bCs/>
                <w:color w:val="FFFFFF"/>
                <w:sz w:val="20"/>
                <w:szCs w:val="20"/>
                <w:lang w:val="en-US"/>
              </w:rPr>
              <w:t xml:space="preserve">Retail trade </w:t>
            </w:r>
          </w:p>
        </w:tc>
        <w:tc>
          <w:tcPr>
            <w:tcW w:w="2340" w:type="dxa"/>
            <w:tcBorders>
              <w:top w:val="single" w:sz="4" w:space="0" w:color="auto"/>
              <w:left w:val="nil"/>
              <w:bottom w:val="single" w:sz="8" w:space="0" w:color="auto"/>
              <w:right w:val="single" w:sz="8" w:space="0" w:color="auto"/>
            </w:tcBorders>
            <w:shd w:val="clear" w:color="000000" w:fill="5B9BD5"/>
            <w:vAlign w:val="center"/>
            <w:hideMark/>
          </w:tcPr>
          <w:p w14:paraId="38F37393" w14:textId="77777777" w:rsidR="00B67151" w:rsidRPr="00055F72" w:rsidRDefault="00B67151" w:rsidP="003C2440">
            <w:pPr>
              <w:spacing w:after="0" w:line="240" w:lineRule="auto"/>
              <w:jc w:val="center"/>
              <w:rPr>
                <w:rFonts w:eastAsia="Times New Roman" w:cs="Times New Roman"/>
                <w:b/>
                <w:bCs/>
                <w:color w:val="FFFFFF"/>
                <w:sz w:val="20"/>
                <w:szCs w:val="20"/>
                <w:lang w:val="en-US"/>
              </w:rPr>
            </w:pPr>
            <w:r>
              <w:rPr>
                <w:rFonts w:eastAsia="Times New Roman" w:cs="Times New Roman"/>
                <w:b/>
                <w:bCs/>
                <w:color w:val="FFFFFF"/>
                <w:sz w:val="20"/>
                <w:szCs w:val="20"/>
                <w:lang w:val="en-US"/>
              </w:rPr>
              <w:t>All Niagara industries</w:t>
            </w:r>
          </w:p>
        </w:tc>
      </w:tr>
      <w:tr w:rsidR="00425F7B" w:rsidRPr="00055F72" w14:paraId="414589E1" w14:textId="77777777" w:rsidTr="003C2440">
        <w:trPr>
          <w:trHeight w:val="277"/>
        </w:trPr>
        <w:tc>
          <w:tcPr>
            <w:tcW w:w="5760" w:type="dxa"/>
            <w:tcBorders>
              <w:top w:val="nil"/>
              <w:left w:val="single" w:sz="8" w:space="0" w:color="auto"/>
              <w:bottom w:val="single" w:sz="8" w:space="0" w:color="auto"/>
              <w:right w:val="single" w:sz="8" w:space="0" w:color="auto"/>
            </w:tcBorders>
            <w:shd w:val="clear" w:color="000000" w:fill="F2F2F2"/>
            <w:vAlign w:val="center"/>
            <w:hideMark/>
          </w:tcPr>
          <w:p w14:paraId="60D00B40" w14:textId="77777777" w:rsidR="00425F7B" w:rsidRPr="00055F72" w:rsidRDefault="00425F7B" w:rsidP="00425F7B">
            <w:pPr>
              <w:spacing w:after="0" w:line="240" w:lineRule="auto"/>
              <w:rPr>
                <w:rFonts w:eastAsia="Times New Roman" w:cs="Times New Roman"/>
                <w:color w:val="000000"/>
                <w:sz w:val="20"/>
                <w:szCs w:val="20"/>
                <w:lang w:val="en-US"/>
              </w:rPr>
            </w:pPr>
            <w:r w:rsidRPr="00055F72">
              <w:rPr>
                <w:rFonts w:eastAsia="Times New Roman" w:cs="Times New Roman"/>
                <w:color w:val="000000"/>
                <w:sz w:val="20"/>
                <w:szCs w:val="20"/>
                <w:lang w:val="en-US"/>
              </w:rPr>
              <w:t>No certificate, diploma or degree</w:t>
            </w:r>
          </w:p>
        </w:tc>
        <w:tc>
          <w:tcPr>
            <w:tcW w:w="1530" w:type="dxa"/>
            <w:tcBorders>
              <w:top w:val="nil"/>
              <w:left w:val="nil"/>
              <w:bottom w:val="single" w:sz="8" w:space="0" w:color="auto"/>
              <w:right w:val="single" w:sz="8" w:space="0" w:color="auto"/>
            </w:tcBorders>
            <w:shd w:val="clear" w:color="000000" w:fill="F2F2F2"/>
            <w:noWrap/>
            <w:vAlign w:val="center"/>
            <w:hideMark/>
          </w:tcPr>
          <w:p w14:paraId="284C8093" w14:textId="03E3C8E5" w:rsidR="00425F7B" w:rsidRPr="00055F72" w:rsidRDefault="00425F7B" w:rsidP="00425F7B">
            <w:pPr>
              <w:spacing w:after="0" w:line="240" w:lineRule="auto"/>
              <w:jc w:val="center"/>
              <w:rPr>
                <w:rFonts w:eastAsia="Times New Roman" w:cs="Times New Roman"/>
                <w:color w:val="000000"/>
                <w:sz w:val="20"/>
                <w:szCs w:val="20"/>
                <w:lang w:val="en-US"/>
              </w:rPr>
            </w:pPr>
            <w:r>
              <w:rPr>
                <w:color w:val="000000"/>
                <w:sz w:val="20"/>
                <w:szCs w:val="20"/>
                <w:lang w:val="en-US"/>
              </w:rPr>
              <w:t>8.0%</w:t>
            </w:r>
          </w:p>
        </w:tc>
        <w:tc>
          <w:tcPr>
            <w:tcW w:w="2340" w:type="dxa"/>
            <w:tcBorders>
              <w:top w:val="nil"/>
              <w:left w:val="nil"/>
              <w:bottom w:val="single" w:sz="8" w:space="0" w:color="auto"/>
              <w:right w:val="single" w:sz="8" w:space="0" w:color="auto"/>
            </w:tcBorders>
            <w:shd w:val="clear" w:color="000000" w:fill="F2F2F2"/>
            <w:noWrap/>
            <w:vAlign w:val="center"/>
            <w:hideMark/>
          </w:tcPr>
          <w:p w14:paraId="19ED5794" w14:textId="67E83B8E" w:rsidR="00425F7B" w:rsidRPr="00055F72" w:rsidRDefault="00425F7B" w:rsidP="00425F7B">
            <w:pPr>
              <w:spacing w:after="0" w:line="240" w:lineRule="auto"/>
              <w:jc w:val="center"/>
              <w:rPr>
                <w:rFonts w:eastAsia="Times New Roman" w:cs="Times New Roman"/>
                <w:color w:val="000000"/>
                <w:sz w:val="20"/>
                <w:szCs w:val="20"/>
                <w:lang w:val="en-US"/>
              </w:rPr>
            </w:pPr>
            <w:r>
              <w:rPr>
                <w:color w:val="000000"/>
                <w:sz w:val="20"/>
                <w:szCs w:val="20"/>
                <w:lang w:val="en-US"/>
              </w:rPr>
              <w:t>6.6%</w:t>
            </w:r>
          </w:p>
        </w:tc>
      </w:tr>
      <w:tr w:rsidR="00425F7B" w:rsidRPr="00055F72" w14:paraId="0C24CC7A" w14:textId="77777777" w:rsidTr="003C2440">
        <w:trPr>
          <w:trHeight w:val="314"/>
        </w:trPr>
        <w:tc>
          <w:tcPr>
            <w:tcW w:w="5760" w:type="dxa"/>
            <w:tcBorders>
              <w:top w:val="nil"/>
              <w:left w:val="single" w:sz="8" w:space="0" w:color="auto"/>
              <w:bottom w:val="single" w:sz="8" w:space="0" w:color="auto"/>
              <w:right w:val="single" w:sz="8" w:space="0" w:color="auto"/>
            </w:tcBorders>
            <w:shd w:val="clear" w:color="000000" w:fill="FFFFFF"/>
            <w:vAlign w:val="center"/>
            <w:hideMark/>
          </w:tcPr>
          <w:p w14:paraId="23C750A9" w14:textId="77777777" w:rsidR="00425F7B" w:rsidRPr="00522C3A" w:rsidRDefault="00425F7B" w:rsidP="00425F7B">
            <w:pPr>
              <w:spacing w:after="0" w:line="240" w:lineRule="auto"/>
              <w:rPr>
                <w:rFonts w:eastAsia="Times New Roman" w:cs="Times New Roman"/>
                <w:color w:val="000000"/>
                <w:sz w:val="19"/>
                <w:szCs w:val="19"/>
                <w:lang w:val="en-US"/>
              </w:rPr>
            </w:pPr>
            <w:r w:rsidRPr="00522C3A">
              <w:rPr>
                <w:rFonts w:eastAsia="Times New Roman" w:cs="Times New Roman"/>
                <w:color w:val="000000"/>
                <w:sz w:val="19"/>
                <w:szCs w:val="19"/>
                <w:lang w:val="en-US"/>
              </w:rPr>
              <w:t>Secondary (high) school diploma or equivalency certificate</w:t>
            </w:r>
          </w:p>
        </w:tc>
        <w:tc>
          <w:tcPr>
            <w:tcW w:w="1530" w:type="dxa"/>
            <w:tcBorders>
              <w:top w:val="nil"/>
              <w:left w:val="nil"/>
              <w:bottom w:val="single" w:sz="8" w:space="0" w:color="auto"/>
              <w:right w:val="single" w:sz="8" w:space="0" w:color="auto"/>
            </w:tcBorders>
            <w:shd w:val="clear" w:color="000000" w:fill="FFFFFF"/>
            <w:noWrap/>
            <w:vAlign w:val="center"/>
            <w:hideMark/>
          </w:tcPr>
          <w:p w14:paraId="306E27A8" w14:textId="1A255F88" w:rsidR="00425F7B" w:rsidRPr="00055F72" w:rsidRDefault="00425F7B" w:rsidP="00425F7B">
            <w:pPr>
              <w:spacing w:after="0" w:line="240" w:lineRule="auto"/>
              <w:jc w:val="center"/>
              <w:rPr>
                <w:rFonts w:eastAsia="Times New Roman" w:cs="Times New Roman"/>
                <w:color w:val="000000"/>
                <w:sz w:val="20"/>
                <w:szCs w:val="20"/>
                <w:lang w:val="en-US"/>
              </w:rPr>
            </w:pPr>
            <w:r>
              <w:rPr>
                <w:color w:val="000000"/>
                <w:sz w:val="20"/>
                <w:szCs w:val="20"/>
                <w:lang w:val="en-US"/>
              </w:rPr>
              <w:t>45.2%</w:t>
            </w:r>
          </w:p>
        </w:tc>
        <w:tc>
          <w:tcPr>
            <w:tcW w:w="2340" w:type="dxa"/>
            <w:tcBorders>
              <w:top w:val="nil"/>
              <w:left w:val="nil"/>
              <w:bottom w:val="single" w:sz="8" w:space="0" w:color="auto"/>
              <w:right w:val="single" w:sz="8" w:space="0" w:color="auto"/>
            </w:tcBorders>
            <w:shd w:val="clear" w:color="000000" w:fill="FFFFFF"/>
            <w:noWrap/>
            <w:vAlign w:val="center"/>
            <w:hideMark/>
          </w:tcPr>
          <w:p w14:paraId="0CF41DB8" w14:textId="629C3D1F" w:rsidR="00425F7B" w:rsidRPr="00055F72" w:rsidRDefault="00425F7B" w:rsidP="00425F7B">
            <w:pPr>
              <w:spacing w:after="0" w:line="240" w:lineRule="auto"/>
              <w:jc w:val="center"/>
              <w:rPr>
                <w:rFonts w:eastAsia="Times New Roman" w:cs="Times New Roman"/>
                <w:color w:val="000000"/>
                <w:sz w:val="20"/>
                <w:szCs w:val="20"/>
                <w:lang w:val="en-US"/>
              </w:rPr>
            </w:pPr>
            <w:r>
              <w:rPr>
                <w:color w:val="000000"/>
                <w:sz w:val="20"/>
                <w:szCs w:val="20"/>
                <w:lang w:val="en-US"/>
              </w:rPr>
              <w:t>28.9%</w:t>
            </w:r>
          </w:p>
        </w:tc>
      </w:tr>
      <w:tr w:rsidR="00425F7B" w:rsidRPr="00055F72" w14:paraId="212E7692" w14:textId="77777777" w:rsidTr="003C2440">
        <w:trPr>
          <w:trHeight w:val="211"/>
        </w:trPr>
        <w:tc>
          <w:tcPr>
            <w:tcW w:w="5760" w:type="dxa"/>
            <w:tcBorders>
              <w:top w:val="nil"/>
              <w:left w:val="single" w:sz="8" w:space="0" w:color="auto"/>
              <w:bottom w:val="single" w:sz="8" w:space="0" w:color="auto"/>
              <w:right w:val="single" w:sz="8" w:space="0" w:color="auto"/>
            </w:tcBorders>
            <w:shd w:val="clear" w:color="000000" w:fill="F2F2F2"/>
            <w:vAlign w:val="center"/>
            <w:hideMark/>
          </w:tcPr>
          <w:p w14:paraId="7AC5135F" w14:textId="77777777" w:rsidR="00425F7B" w:rsidRPr="00055F72" w:rsidRDefault="00425F7B" w:rsidP="00425F7B">
            <w:pPr>
              <w:spacing w:after="0" w:line="240" w:lineRule="auto"/>
              <w:rPr>
                <w:rFonts w:eastAsia="Times New Roman" w:cs="Times New Roman"/>
                <w:color w:val="000000"/>
                <w:sz w:val="20"/>
                <w:szCs w:val="20"/>
                <w:lang w:val="en-US"/>
              </w:rPr>
            </w:pPr>
            <w:r w:rsidRPr="00055F72">
              <w:rPr>
                <w:rFonts w:eastAsia="Times New Roman" w:cs="Times New Roman"/>
                <w:color w:val="000000"/>
                <w:sz w:val="20"/>
                <w:szCs w:val="20"/>
                <w:lang w:val="en-US"/>
              </w:rPr>
              <w:t>Postsecondary certificate, diploma or degree</w:t>
            </w:r>
          </w:p>
        </w:tc>
        <w:tc>
          <w:tcPr>
            <w:tcW w:w="1530" w:type="dxa"/>
            <w:tcBorders>
              <w:top w:val="nil"/>
              <w:left w:val="nil"/>
              <w:bottom w:val="single" w:sz="8" w:space="0" w:color="auto"/>
              <w:right w:val="single" w:sz="8" w:space="0" w:color="auto"/>
            </w:tcBorders>
            <w:shd w:val="clear" w:color="000000" w:fill="F2F2F2"/>
            <w:noWrap/>
            <w:vAlign w:val="center"/>
            <w:hideMark/>
          </w:tcPr>
          <w:p w14:paraId="75852669" w14:textId="525F5A97" w:rsidR="00425F7B" w:rsidRPr="00055F72" w:rsidRDefault="00425F7B" w:rsidP="00425F7B">
            <w:pPr>
              <w:spacing w:after="0" w:line="240" w:lineRule="auto"/>
              <w:jc w:val="center"/>
              <w:rPr>
                <w:rFonts w:eastAsia="Times New Roman" w:cs="Times New Roman"/>
                <w:color w:val="000000"/>
                <w:sz w:val="20"/>
                <w:szCs w:val="20"/>
                <w:lang w:val="en-US"/>
              </w:rPr>
            </w:pPr>
            <w:r>
              <w:rPr>
                <w:color w:val="000000"/>
                <w:sz w:val="20"/>
                <w:szCs w:val="20"/>
                <w:lang w:val="en-US"/>
              </w:rPr>
              <w:t>46.8%</w:t>
            </w:r>
          </w:p>
        </w:tc>
        <w:tc>
          <w:tcPr>
            <w:tcW w:w="2340" w:type="dxa"/>
            <w:tcBorders>
              <w:top w:val="nil"/>
              <w:left w:val="nil"/>
              <w:bottom w:val="single" w:sz="8" w:space="0" w:color="auto"/>
              <w:right w:val="single" w:sz="8" w:space="0" w:color="auto"/>
            </w:tcBorders>
            <w:shd w:val="clear" w:color="000000" w:fill="F2F2F2"/>
            <w:noWrap/>
            <w:vAlign w:val="center"/>
            <w:hideMark/>
          </w:tcPr>
          <w:p w14:paraId="101F7093" w14:textId="74C6CB34" w:rsidR="00425F7B" w:rsidRPr="00055F72" w:rsidRDefault="00425F7B" w:rsidP="00425F7B">
            <w:pPr>
              <w:spacing w:after="0" w:line="240" w:lineRule="auto"/>
              <w:jc w:val="center"/>
              <w:rPr>
                <w:rFonts w:eastAsia="Times New Roman" w:cs="Times New Roman"/>
                <w:color w:val="000000"/>
                <w:sz w:val="20"/>
                <w:szCs w:val="20"/>
                <w:lang w:val="en-US"/>
              </w:rPr>
            </w:pPr>
            <w:r>
              <w:rPr>
                <w:color w:val="000000"/>
                <w:sz w:val="20"/>
                <w:szCs w:val="20"/>
                <w:lang w:val="en-US"/>
              </w:rPr>
              <w:t>64.5%</w:t>
            </w:r>
          </w:p>
        </w:tc>
      </w:tr>
    </w:tbl>
    <w:p w14:paraId="0E87773D" w14:textId="03DED3F3" w:rsidR="00B67151" w:rsidRDefault="00B67151" w:rsidP="00B67151">
      <w:r>
        <w:rPr>
          <w:rStyle w:val="CommentReference"/>
        </w:rPr>
        <w:t>Source: Sta</w:t>
      </w:r>
      <w:r w:rsidR="00BD186F">
        <w:rPr>
          <w:rStyle w:val="CommentReference"/>
        </w:rPr>
        <w:t>ti</w:t>
      </w:r>
      <w:r>
        <w:rPr>
          <w:rStyle w:val="CommentReference"/>
        </w:rPr>
        <w:t xml:space="preserve">stics Canada, 2016 Census. Custom Data Tabulation </w:t>
      </w:r>
    </w:p>
    <w:p w14:paraId="5FAE6FAB" w14:textId="41FED79A" w:rsidR="00604EDF" w:rsidRDefault="00604EDF" w:rsidP="00604EDF">
      <w:pPr>
        <w:pStyle w:val="Heading2"/>
      </w:pPr>
      <w:r>
        <w:t>Commuting and wages</w:t>
      </w:r>
    </w:p>
    <w:p w14:paraId="3286E8E1" w14:textId="60A9848F" w:rsidR="0027374A" w:rsidRDefault="006C3F4D" w:rsidP="53EE565F">
      <w:pPr>
        <w:rPr>
          <w:sz w:val="22"/>
        </w:rPr>
      </w:pPr>
      <w:r w:rsidRPr="39D91066">
        <w:rPr>
          <w:sz w:val="22"/>
        </w:rPr>
        <w:t>Niagara residents</w:t>
      </w:r>
      <w:r w:rsidR="00E41AFB">
        <w:rPr>
          <w:sz w:val="22"/>
        </w:rPr>
        <w:t xml:space="preserve"> -</w:t>
      </w:r>
      <w:r w:rsidRPr="39D91066">
        <w:rPr>
          <w:sz w:val="22"/>
        </w:rPr>
        <w:t xml:space="preserve"> </w:t>
      </w:r>
      <w:r w:rsidR="00C15045">
        <w:rPr>
          <w:sz w:val="22"/>
        </w:rPr>
        <w:t>regardless of occupation</w:t>
      </w:r>
      <w:r w:rsidR="00E41AFB">
        <w:rPr>
          <w:sz w:val="22"/>
        </w:rPr>
        <w:t xml:space="preserve"> -</w:t>
      </w:r>
      <w:r w:rsidR="00C15045">
        <w:rPr>
          <w:sz w:val="22"/>
        </w:rPr>
        <w:t xml:space="preserve"> </w:t>
      </w:r>
      <w:r w:rsidR="00DC7FF0" w:rsidRPr="39D91066">
        <w:rPr>
          <w:sz w:val="22"/>
        </w:rPr>
        <w:t xml:space="preserve">are </w:t>
      </w:r>
      <w:r w:rsidR="00C15045">
        <w:rPr>
          <w:sz w:val="22"/>
        </w:rPr>
        <w:t>u</w:t>
      </w:r>
      <w:r w:rsidR="28188D0A" w:rsidRPr="39D91066">
        <w:rPr>
          <w:sz w:val="22"/>
        </w:rPr>
        <w:t xml:space="preserve">nlikely </w:t>
      </w:r>
      <w:r w:rsidR="00280329">
        <w:rPr>
          <w:sz w:val="22"/>
        </w:rPr>
        <w:t>to commute out of the region</w:t>
      </w:r>
      <w:r w:rsidR="00C15045">
        <w:rPr>
          <w:sz w:val="22"/>
        </w:rPr>
        <w:t xml:space="preserve">, </w:t>
      </w:r>
      <w:r w:rsidR="00BF0F0B">
        <w:rPr>
          <w:sz w:val="22"/>
        </w:rPr>
        <w:t>with</w:t>
      </w:r>
      <w:r w:rsidR="00C15045">
        <w:rPr>
          <w:sz w:val="22"/>
        </w:rPr>
        <w:t xml:space="preserve"> 84.5% of those employed in 2015 commuting within Niagara</w:t>
      </w:r>
      <w:r w:rsidRPr="39D91066">
        <w:rPr>
          <w:sz w:val="22"/>
        </w:rPr>
        <w:t xml:space="preserve">. Table 3 presents data </w:t>
      </w:r>
      <w:r w:rsidR="0027374A" w:rsidRPr="39D91066">
        <w:rPr>
          <w:sz w:val="22"/>
        </w:rPr>
        <w:t>on</w:t>
      </w:r>
      <w:r w:rsidRPr="39D91066">
        <w:rPr>
          <w:sz w:val="22"/>
        </w:rPr>
        <w:t xml:space="preserve"> the top</w:t>
      </w:r>
      <w:r w:rsidR="318EA701" w:rsidRPr="39D91066">
        <w:rPr>
          <w:sz w:val="22"/>
        </w:rPr>
        <w:t>-</w:t>
      </w:r>
      <w:r w:rsidRPr="39D91066">
        <w:rPr>
          <w:sz w:val="22"/>
        </w:rPr>
        <w:t xml:space="preserve">five </w:t>
      </w:r>
      <w:r w:rsidR="00BD186F" w:rsidRPr="39D91066">
        <w:rPr>
          <w:sz w:val="22"/>
        </w:rPr>
        <w:t xml:space="preserve">occupations in the </w:t>
      </w:r>
      <w:r w:rsidRPr="39D91066">
        <w:rPr>
          <w:sz w:val="22"/>
        </w:rPr>
        <w:t xml:space="preserve">retail trade </w:t>
      </w:r>
      <w:r w:rsidR="00BD186F" w:rsidRPr="39D91066">
        <w:rPr>
          <w:sz w:val="22"/>
        </w:rPr>
        <w:t>industry by number</w:t>
      </w:r>
      <w:r w:rsidRPr="39D91066">
        <w:rPr>
          <w:sz w:val="22"/>
        </w:rPr>
        <w:t xml:space="preserve"> of jobs in 2019</w:t>
      </w:r>
      <w:r w:rsidR="00BD186F" w:rsidRPr="39D91066">
        <w:rPr>
          <w:sz w:val="22"/>
        </w:rPr>
        <w:t>. It also includes median hourly wages from 2019.</w:t>
      </w:r>
      <w:r w:rsidRPr="39D91066">
        <w:rPr>
          <w:sz w:val="22"/>
        </w:rPr>
        <w:t xml:space="preserve"> </w:t>
      </w:r>
      <w:r w:rsidR="00DC7FF0" w:rsidRPr="39D91066">
        <w:rPr>
          <w:sz w:val="22"/>
        </w:rPr>
        <w:t xml:space="preserve">The median wages for the four most prevalent occupations show that those employees tend to be working either at or near minimum wage, or in a part-time capacity. </w:t>
      </w:r>
      <w:r w:rsidRPr="39D91066">
        <w:rPr>
          <w:sz w:val="22"/>
        </w:rPr>
        <w:t xml:space="preserve">It </w:t>
      </w:r>
      <w:r w:rsidR="005B0797" w:rsidRPr="39D91066">
        <w:rPr>
          <w:sz w:val="22"/>
        </w:rPr>
        <w:t>also</w:t>
      </w:r>
      <w:r w:rsidRPr="39D91066">
        <w:rPr>
          <w:sz w:val="22"/>
        </w:rPr>
        <w:t xml:space="preserve"> shows the percentage of Niagara residents employed in those occupations who commute to work within Niagara</w:t>
      </w:r>
      <w:r w:rsidR="003773F1" w:rsidRPr="39D91066">
        <w:rPr>
          <w:sz w:val="22"/>
        </w:rPr>
        <w:t>'</w:t>
      </w:r>
      <w:r w:rsidR="00BD186F" w:rsidRPr="39D91066">
        <w:rPr>
          <w:sz w:val="22"/>
        </w:rPr>
        <w:t xml:space="preserve"> according to census data</w:t>
      </w:r>
      <w:r w:rsidRPr="39D91066">
        <w:rPr>
          <w:sz w:val="22"/>
        </w:rPr>
        <w:t xml:space="preserve">. </w:t>
      </w:r>
      <w:r w:rsidR="00DC7FF0" w:rsidRPr="39D91066">
        <w:rPr>
          <w:sz w:val="22"/>
        </w:rPr>
        <w:t>Notably,</w:t>
      </w:r>
      <w:r w:rsidRPr="39D91066">
        <w:rPr>
          <w:sz w:val="22"/>
        </w:rPr>
        <w:t xml:space="preserve"> all five of the occupations had rates of commuting </w:t>
      </w:r>
      <w:r w:rsidRPr="39D91066">
        <w:rPr>
          <w:i/>
          <w:iCs/>
          <w:sz w:val="22"/>
        </w:rPr>
        <w:t>within Niagara</w:t>
      </w:r>
      <w:r w:rsidRPr="39D91066">
        <w:rPr>
          <w:sz w:val="22"/>
        </w:rPr>
        <w:t xml:space="preserve"> </w:t>
      </w:r>
      <w:r w:rsidR="00DC7FF0" w:rsidRPr="39D91066">
        <w:rPr>
          <w:sz w:val="22"/>
        </w:rPr>
        <w:t xml:space="preserve">of </w:t>
      </w:r>
      <w:r w:rsidRPr="39D91066">
        <w:rPr>
          <w:sz w:val="22"/>
        </w:rPr>
        <w:t>over 86%.</w:t>
      </w:r>
      <w:r w:rsidR="00DC7FF0" w:rsidRPr="39D91066">
        <w:rPr>
          <w:sz w:val="22"/>
        </w:rPr>
        <w:t xml:space="preserve"> </w:t>
      </w:r>
    </w:p>
    <w:p w14:paraId="1F61CA20" w14:textId="35C18214" w:rsidR="005B0797" w:rsidRPr="00E32053" w:rsidRDefault="005B0797" w:rsidP="005B0797">
      <w:pPr>
        <w:spacing w:after="0" w:line="257" w:lineRule="auto"/>
        <w:rPr>
          <w:color w:val="0070C0"/>
          <w:sz w:val="22"/>
        </w:rPr>
      </w:pPr>
      <w:r>
        <w:rPr>
          <w:color w:val="0070C0"/>
          <w:sz w:val="22"/>
        </w:rPr>
        <w:t>Table 3</w:t>
      </w:r>
      <w:r w:rsidRPr="00E32053">
        <w:rPr>
          <w:color w:val="0070C0"/>
          <w:sz w:val="22"/>
        </w:rPr>
        <w:t xml:space="preserve"> </w:t>
      </w:r>
      <w:r>
        <w:rPr>
          <w:color w:val="0070C0"/>
          <w:sz w:val="22"/>
        </w:rPr>
        <w:t>Commuter and</w:t>
      </w:r>
      <w:r w:rsidRPr="00E32053">
        <w:rPr>
          <w:color w:val="0070C0"/>
          <w:sz w:val="22"/>
        </w:rPr>
        <w:t xml:space="preserve"> wage</w:t>
      </w:r>
      <w:r>
        <w:rPr>
          <w:color w:val="0070C0"/>
          <w:sz w:val="22"/>
        </w:rPr>
        <w:t xml:space="preserve"> data for retail trade occupations</w:t>
      </w:r>
      <w:r w:rsidRPr="00E32053">
        <w:rPr>
          <w:color w:val="0070C0"/>
          <w:sz w:val="22"/>
        </w:rPr>
        <w:t>, Niagara region</w:t>
      </w:r>
    </w:p>
    <w:tbl>
      <w:tblPr>
        <w:tblW w:w="9488" w:type="dxa"/>
        <w:tblLook w:val="04A0" w:firstRow="1" w:lastRow="0" w:firstColumn="1" w:lastColumn="0" w:noHBand="0" w:noVBand="1"/>
      </w:tblPr>
      <w:tblGrid>
        <w:gridCol w:w="2600"/>
        <w:gridCol w:w="1350"/>
        <w:gridCol w:w="1350"/>
        <w:gridCol w:w="1530"/>
        <w:gridCol w:w="2658"/>
      </w:tblGrid>
      <w:tr w:rsidR="00C67AD1" w:rsidRPr="00DC7FF0" w14:paraId="4FB92914" w14:textId="6FA04791" w:rsidTr="00C67AD1">
        <w:trPr>
          <w:trHeight w:val="60"/>
        </w:trPr>
        <w:tc>
          <w:tcPr>
            <w:tcW w:w="2600" w:type="dxa"/>
            <w:tcBorders>
              <w:top w:val="single" w:sz="8" w:space="0" w:color="auto"/>
              <w:left w:val="single" w:sz="8" w:space="0" w:color="auto"/>
              <w:bottom w:val="single" w:sz="8" w:space="0" w:color="auto"/>
              <w:right w:val="single" w:sz="8" w:space="0" w:color="auto"/>
            </w:tcBorders>
            <w:shd w:val="clear" w:color="000000" w:fill="5B9BD5"/>
            <w:noWrap/>
            <w:vAlign w:val="center"/>
            <w:hideMark/>
          </w:tcPr>
          <w:p w14:paraId="58DE0561" w14:textId="77777777" w:rsidR="00C67AD1" w:rsidRPr="00DC7FF0" w:rsidRDefault="00C67AD1" w:rsidP="00C67AD1">
            <w:pPr>
              <w:spacing w:after="0" w:line="240" w:lineRule="auto"/>
              <w:rPr>
                <w:rFonts w:eastAsia="Times New Roman" w:cs="Calibri"/>
                <w:b/>
                <w:bCs/>
                <w:color w:val="000000"/>
                <w:sz w:val="20"/>
                <w:szCs w:val="20"/>
                <w:lang w:val="en-US"/>
              </w:rPr>
            </w:pPr>
            <w:r w:rsidRPr="00DC7FF0">
              <w:rPr>
                <w:rFonts w:eastAsia="Times New Roman" w:cs="Calibri"/>
                <w:b/>
                <w:bCs/>
                <w:color w:val="000000"/>
                <w:sz w:val="20"/>
                <w:szCs w:val="20"/>
              </w:rPr>
              <w:t>Retail Trade Subsectors – Niagara region</w:t>
            </w:r>
          </w:p>
        </w:tc>
        <w:tc>
          <w:tcPr>
            <w:tcW w:w="1350" w:type="dxa"/>
            <w:tcBorders>
              <w:top w:val="single" w:sz="8" w:space="0" w:color="auto"/>
              <w:left w:val="nil"/>
              <w:bottom w:val="single" w:sz="8" w:space="0" w:color="auto"/>
              <w:right w:val="single" w:sz="8" w:space="0" w:color="auto"/>
            </w:tcBorders>
            <w:shd w:val="clear" w:color="000000" w:fill="9CC2E5"/>
            <w:vAlign w:val="center"/>
            <w:hideMark/>
          </w:tcPr>
          <w:p w14:paraId="58813E44" w14:textId="77777777"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2019 Jobs</w:t>
            </w:r>
          </w:p>
        </w:tc>
        <w:tc>
          <w:tcPr>
            <w:tcW w:w="1350" w:type="dxa"/>
            <w:tcBorders>
              <w:top w:val="single" w:sz="8" w:space="0" w:color="auto"/>
              <w:left w:val="nil"/>
              <w:bottom w:val="single" w:sz="8" w:space="0" w:color="auto"/>
              <w:right w:val="single" w:sz="8" w:space="0" w:color="auto"/>
            </w:tcBorders>
            <w:shd w:val="clear" w:color="000000" w:fill="9CC2E5"/>
            <w:vAlign w:val="center"/>
            <w:hideMark/>
          </w:tcPr>
          <w:p w14:paraId="713EA359" w14:textId="77777777"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 of Retail Industry</w:t>
            </w:r>
          </w:p>
        </w:tc>
        <w:tc>
          <w:tcPr>
            <w:tcW w:w="1530" w:type="dxa"/>
            <w:tcBorders>
              <w:top w:val="single" w:sz="8" w:space="0" w:color="auto"/>
              <w:left w:val="nil"/>
              <w:bottom w:val="single" w:sz="8" w:space="0" w:color="auto"/>
              <w:right w:val="single" w:sz="4" w:space="0" w:color="auto"/>
            </w:tcBorders>
            <w:shd w:val="clear" w:color="000000" w:fill="9CC2E5"/>
            <w:noWrap/>
            <w:vAlign w:val="center"/>
            <w:hideMark/>
          </w:tcPr>
          <w:p w14:paraId="1E697BA5" w14:textId="04369D17"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rPr>
              <w:t>Median Hourly Wages</w:t>
            </w:r>
            <w:r>
              <w:rPr>
                <w:rFonts w:eastAsia="Times New Roman" w:cs="Calibri"/>
                <w:color w:val="000000"/>
                <w:sz w:val="20"/>
                <w:szCs w:val="20"/>
              </w:rPr>
              <w:t xml:space="preserve"> 2019</w:t>
            </w:r>
          </w:p>
        </w:tc>
        <w:tc>
          <w:tcPr>
            <w:tcW w:w="2658" w:type="dxa"/>
            <w:tcBorders>
              <w:top w:val="single" w:sz="4" w:space="0" w:color="auto"/>
              <w:left w:val="single" w:sz="4" w:space="0" w:color="auto"/>
              <w:bottom w:val="single" w:sz="8" w:space="0" w:color="auto"/>
              <w:right w:val="single" w:sz="4" w:space="0" w:color="auto"/>
            </w:tcBorders>
            <w:shd w:val="clear" w:color="000000" w:fill="9CC2E5"/>
            <w:vAlign w:val="center"/>
          </w:tcPr>
          <w:p w14:paraId="3D621BEB" w14:textId="7A2519CB" w:rsidR="00C67AD1" w:rsidRPr="00DC7FF0" w:rsidRDefault="003F0D68" w:rsidP="00C75C01">
            <w:pPr>
              <w:spacing w:after="0" w:line="240" w:lineRule="auto"/>
              <w:jc w:val="center"/>
              <w:rPr>
                <w:rFonts w:eastAsia="Times New Roman" w:cs="Calibri"/>
                <w:color w:val="000000"/>
                <w:sz w:val="20"/>
                <w:szCs w:val="20"/>
              </w:rPr>
            </w:pPr>
            <w:r>
              <w:rPr>
                <w:rFonts w:eastAsia="Times New Roman" w:cs="Calibri"/>
                <w:color w:val="000000"/>
                <w:sz w:val="20"/>
                <w:szCs w:val="20"/>
              </w:rPr>
              <w:t>%</w:t>
            </w:r>
            <w:r w:rsidR="00C67AD1" w:rsidRPr="00DC7FF0">
              <w:rPr>
                <w:rFonts w:eastAsia="Times New Roman" w:cs="Calibri"/>
                <w:color w:val="000000"/>
                <w:sz w:val="20"/>
                <w:szCs w:val="20"/>
              </w:rPr>
              <w:t xml:space="preserve"> of employees that commute </w:t>
            </w:r>
            <w:r w:rsidR="00C75C01">
              <w:rPr>
                <w:rFonts w:eastAsia="Times New Roman" w:cs="Calibri"/>
                <w:color w:val="000000"/>
                <w:sz w:val="20"/>
                <w:szCs w:val="20"/>
              </w:rPr>
              <w:t>in</w:t>
            </w:r>
            <w:r w:rsidR="00C67AD1" w:rsidRPr="00DC7FF0">
              <w:rPr>
                <w:rFonts w:eastAsia="Times New Roman" w:cs="Calibri"/>
                <w:color w:val="000000"/>
                <w:sz w:val="20"/>
                <w:szCs w:val="20"/>
              </w:rPr>
              <w:t xml:space="preserve"> Niagara</w:t>
            </w:r>
            <w:r w:rsidR="00766E11">
              <w:rPr>
                <w:rFonts w:eastAsia="Times New Roman" w:cs="Calibri"/>
                <w:color w:val="000000"/>
                <w:sz w:val="20"/>
                <w:szCs w:val="20"/>
              </w:rPr>
              <w:t>, Census data</w:t>
            </w:r>
          </w:p>
        </w:tc>
      </w:tr>
      <w:tr w:rsidR="00C67AD1" w:rsidRPr="00DC7FF0" w14:paraId="244798CD" w14:textId="0D1303DF" w:rsidTr="00C67AD1">
        <w:trPr>
          <w:trHeight w:val="125"/>
        </w:trPr>
        <w:tc>
          <w:tcPr>
            <w:tcW w:w="2600" w:type="dxa"/>
            <w:tcBorders>
              <w:top w:val="nil"/>
              <w:left w:val="single" w:sz="8" w:space="0" w:color="auto"/>
              <w:bottom w:val="single" w:sz="8" w:space="0" w:color="A6A6A6"/>
              <w:right w:val="single" w:sz="8" w:space="0" w:color="auto"/>
            </w:tcBorders>
            <w:shd w:val="clear" w:color="auto" w:fill="auto"/>
            <w:noWrap/>
            <w:vAlign w:val="center"/>
            <w:hideMark/>
          </w:tcPr>
          <w:p w14:paraId="0D69D0B1" w14:textId="77777777" w:rsidR="00C67AD1" w:rsidRPr="00DC7FF0" w:rsidRDefault="00C67AD1" w:rsidP="00C67AD1">
            <w:pPr>
              <w:spacing w:after="0" w:line="240" w:lineRule="auto"/>
              <w:rPr>
                <w:rFonts w:eastAsia="Times New Roman" w:cs="Calibri"/>
                <w:color w:val="000000"/>
                <w:sz w:val="20"/>
                <w:szCs w:val="20"/>
                <w:lang w:val="en-US"/>
              </w:rPr>
            </w:pPr>
            <w:r w:rsidRPr="00DC7FF0">
              <w:rPr>
                <w:rFonts w:eastAsia="Times New Roman" w:cs="Calibri"/>
                <w:color w:val="000000"/>
                <w:sz w:val="20"/>
                <w:szCs w:val="20"/>
                <w:lang w:val="en-US"/>
              </w:rPr>
              <w:t>Retail salespersons</w:t>
            </w:r>
          </w:p>
        </w:tc>
        <w:tc>
          <w:tcPr>
            <w:tcW w:w="1350" w:type="dxa"/>
            <w:tcBorders>
              <w:top w:val="nil"/>
              <w:left w:val="nil"/>
              <w:bottom w:val="single" w:sz="8" w:space="0" w:color="A6A6A6"/>
              <w:right w:val="single" w:sz="8" w:space="0" w:color="auto"/>
            </w:tcBorders>
            <w:shd w:val="clear" w:color="auto" w:fill="auto"/>
            <w:vAlign w:val="center"/>
            <w:hideMark/>
          </w:tcPr>
          <w:p w14:paraId="2F77C369" w14:textId="77777777"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6,426</w:t>
            </w:r>
          </w:p>
        </w:tc>
        <w:tc>
          <w:tcPr>
            <w:tcW w:w="1350" w:type="dxa"/>
            <w:tcBorders>
              <w:top w:val="nil"/>
              <w:left w:val="nil"/>
              <w:bottom w:val="single" w:sz="8" w:space="0" w:color="A6A6A6"/>
              <w:right w:val="single" w:sz="8" w:space="0" w:color="auto"/>
            </w:tcBorders>
            <w:shd w:val="clear" w:color="auto" w:fill="auto"/>
            <w:vAlign w:val="center"/>
            <w:hideMark/>
          </w:tcPr>
          <w:p w14:paraId="209053F6" w14:textId="730A0689"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25.5%</w:t>
            </w:r>
          </w:p>
        </w:tc>
        <w:tc>
          <w:tcPr>
            <w:tcW w:w="1530" w:type="dxa"/>
            <w:tcBorders>
              <w:top w:val="nil"/>
              <w:left w:val="nil"/>
              <w:bottom w:val="single" w:sz="8" w:space="0" w:color="A6A6A6"/>
              <w:right w:val="single" w:sz="4" w:space="0" w:color="auto"/>
            </w:tcBorders>
            <w:shd w:val="clear" w:color="auto" w:fill="auto"/>
            <w:vAlign w:val="center"/>
            <w:hideMark/>
          </w:tcPr>
          <w:p w14:paraId="63D60340" w14:textId="77777777"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$14.57</w:t>
            </w:r>
          </w:p>
        </w:tc>
        <w:tc>
          <w:tcPr>
            <w:tcW w:w="2658" w:type="dxa"/>
            <w:tcBorders>
              <w:top w:val="nil"/>
              <w:left w:val="single" w:sz="4" w:space="0" w:color="auto"/>
              <w:bottom w:val="single" w:sz="8" w:space="0" w:color="A6A6A6"/>
              <w:right w:val="single" w:sz="4" w:space="0" w:color="auto"/>
            </w:tcBorders>
            <w:vAlign w:val="center"/>
          </w:tcPr>
          <w:p w14:paraId="620A54AB" w14:textId="71F12E41"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91.9%</w:t>
            </w:r>
          </w:p>
        </w:tc>
      </w:tr>
      <w:tr w:rsidR="00C67AD1" w:rsidRPr="00DC7FF0" w14:paraId="146864F1" w14:textId="609DA9DE" w:rsidTr="00C67AD1">
        <w:trPr>
          <w:trHeight w:val="125"/>
        </w:trPr>
        <w:tc>
          <w:tcPr>
            <w:tcW w:w="2600" w:type="dxa"/>
            <w:tcBorders>
              <w:top w:val="nil"/>
              <w:left w:val="single" w:sz="8" w:space="0" w:color="auto"/>
              <w:bottom w:val="single" w:sz="8" w:space="0" w:color="A6A6A6"/>
              <w:right w:val="single" w:sz="8" w:space="0" w:color="auto"/>
            </w:tcBorders>
            <w:shd w:val="clear" w:color="auto" w:fill="auto"/>
            <w:noWrap/>
            <w:vAlign w:val="center"/>
            <w:hideMark/>
          </w:tcPr>
          <w:p w14:paraId="69BDAF2F" w14:textId="77777777" w:rsidR="00C67AD1" w:rsidRPr="00DC7FF0" w:rsidRDefault="00C67AD1" w:rsidP="00C67AD1">
            <w:pPr>
              <w:spacing w:after="0" w:line="240" w:lineRule="auto"/>
              <w:rPr>
                <w:rFonts w:eastAsia="Times New Roman" w:cs="Calibri"/>
                <w:color w:val="000000"/>
                <w:sz w:val="20"/>
                <w:szCs w:val="20"/>
                <w:lang w:val="en-US"/>
              </w:rPr>
            </w:pPr>
            <w:r w:rsidRPr="00DC7FF0">
              <w:rPr>
                <w:rFonts w:eastAsia="Times New Roman" w:cs="Calibri"/>
                <w:color w:val="000000"/>
                <w:sz w:val="20"/>
                <w:szCs w:val="20"/>
                <w:lang w:val="en-US"/>
              </w:rPr>
              <w:t>Cashiers</w:t>
            </w:r>
          </w:p>
        </w:tc>
        <w:tc>
          <w:tcPr>
            <w:tcW w:w="1350" w:type="dxa"/>
            <w:tcBorders>
              <w:top w:val="nil"/>
              <w:left w:val="nil"/>
              <w:bottom w:val="single" w:sz="8" w:space="0" w:color="A6A6A6"/>
              <w:right w:val="single" w:sz="8" w:space="0" w:color="auto"/>
            </w:tcBorders>
            <w:shd w:val="clear" w:color="auto" w:fill="auto"/>
            <w:vAlign w:val="center"/>
            <w:hideMark/>
          </w:tcPr>
          <w:p w14:paraId="2CF69F8D" w14:textId="77777777"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2,805</w:t>
            </w:r>
          </w:p>
        </w:tc>
        <w:tc>
          <w:tcPr>
            <w:tcW w:w="1350" w:type="dxa"/>
            <w:tcBorders>
              <w:top w:val="nil"/>
              <w:left w:val="nil"/>
              <w:bottom w:val="single" w:sz="8" w:space="0" w:color="A6A6A6"/>
              <w:right w:val="single" w:sz="8" w:space="0" w:color="auto"/>
            </w:tcBorders>
            <w:shd w:val="clear" w:color="auto" w:fill="auto"/>
            <w:vAlign w:val="center"/>
            <w:hideMark/>
          </w:tcPr>
          <w:p w14:paraId="0C53B945" w14:textId="23130AA7"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11.1%</w:t>
            </w:r>
          </w:p>
        </w:tc>
        <w:tc>
          <w:tcPr>
            <w:tcW w:w="1530" w:type="dxa"/>
            <w:tcBorders>
              <w:top w:val="nil"/>
              <w:left w:val="nil"/>
              <w:bottom w:val="single" w:sz="8" w:space="0" w:color="A6A6A6"/>
              <w:right w:val="single" w:sz="4" w:space="0" w:color="auto"/>
            </w:tcBorders>
            <w:shd w:val="clear" w:color="auto" w:fill="auto"/>
            <w:vAlign w:val="center"/>
            <w:hideMark/>
          </w:tcPr>
          <w:p w14:paraId="633C1E6F" w14:textId="77777777"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$14.02</w:t>
            </w:r>
          </w:p>
        </w:tc>
        <w:tc>
          <w:tcPr>
            <w:tcW w:w="2658" w:type="dxa"/>
            <w:tcBorders>
              <w:top w:val="nil"/>
              <w:left w:val="single" w:sz="4" w:space="0" w:color="auto"/>
              <w:bottom w:val="single" w:sz="8" w:space="0" w:color="A6A6A6"/>
              <w:right w:val="single" w:sz="4" w:space="0" w:color="auto"/>
            </w:tcBorders>
            <w:vAlign w:val="center"/>
          </w:tcPr>
          <w:p w14:paraId="76D0FA8D" w14:textId="4C885CF6"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96.5%</w:t>
            </w:r>
          </w:p>
        </w:tc>
      </w:tr>
      <w:tr w:rsidR="00C67AD1" w:rsidRPr="00DC7FF0" w14:paraId="0E3AC07E" w14:textId="311EA7D1" w:rsidTr="00C67AD1">
        <w:trPr>
          <w:trHeight w:val="244"/>
        </w:trPr>
        <w:tc>
          <w:tcPr>
            <w:tcW w:w="2600" w:type="dxa"/>
            <w:tcBorders>
              <w:top w:val="nil"/>
              <w:left w:val="single" w:sz="8" w:space="0" w:color="auto"/>
              <w:bottom w:val="single" w:sz="8" w:space="0" w:color="A6A6A6"/>
              <w:right w:val="single" w:sz="8" w:space="0" w:color="auto"/>
            </w:tcBorders>
            <w:shd w:val="clear" w:color="auto" w:fill="auto"/>
            <w:noWrap/>
            <w:vAlign w:val="center"/>
            <w:hideMark/>
          </w:tcPr>
          <w:p w14:paraId="03F52927" w14:textId="77777777" w:rsidR="00C67AD1" w:rsidRPr="00DC7FF0" w:rsidRDefault="00C67AD1" w:rsidP="00C67AD1">
            <w:pPr>
              <w:spacing w:after="0" w:line="240" w:lineRule="auto"/>
              <w:rPr>
                <w:rFonts w:eastAsia="Times New Roman" w:cs="Calibri"/>
                <w:color w:val="000000"/>
                <w:sz w:val="20"/>
                <w:szCs w:val="20"/>
                <w:lang w:val="en-US"/>
              </w:rPr>
            </w:pPr>
            <w:r w:rsidRPr="00DC7FF0">
              <w:rPr>
                <w:rFonts w:eastAsia="Times New Roman" w:cs="Calibri"/>
                <w:color w:val="000000"/>
                <w:sz w:val="20"/>
                <w:szCs w:val="20"/>
                <w:lang w:val="en-US"/>
              </w:rPr>
              <w:t>Retail sales supervisors</w:t>
            </w:r>
          </w:p>
        </w:tc>
        <w:tc>
          <w:tcPr>
            <w:tcW w:w="1350" w:type="dxa"/>
            <w:tcBorders>
              <w:top w:val="nil"/>
              <w:left w:val="nil"/>
              <w:bottom w:val="single" w:sz="8" w:space="0" w:color="A6A6A6"/>
              <w:right w:val="single" w:sz="8" w:space="0" w:color="auto"/>
            </w:tcBorders>
            <w:shd w:val="clear" w:color="auto" w:fill="auto"/>
            <w:vAlign w:val="center"/>
            <w:hideMark/>
          </w:tcPr>
          <w:p w14:paraId="6F386819" w14:textId="77777777"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2,587</w:t>
            </w:r>
          </w:p>
        </w:tc>
        <w:tc>
          <w:tcPr>
            <w:tcW w:w="1350" w:type="dxa"/>
            <w:tcBorders>
              <w:top w:val="nil"/>
              <w:left w:val="nil"/>
              <w:bottom w:val="single" w:sz="8" w:space="0" w:color="A6A6A6"/>
              <w:right w:val="single" w:sz="8" w:space="0" w:color="auto"/>
            </w:tcBorders>
            <w:shd w:val="clear" w:color="auto" w:fill="auto"/>
            <w:vAlign w:val="center"/>
            <w:hideMark/>
          </w:tcPr>
          <w:p w14:paraId="61FE8A5B" w14:textId="227249B0"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10.</w:t>
            </w:r>
            <w:r>
              <w:rPr>
                <w:rFonts w:eastAsia="Times New Roman" w:cs="Calibri"/>
                <w:color w:val="000000"/>
                <w:sz w:val="20"/>
                <w:szCs w:val="20"/>
                <w:lang w:val="en-US"/>
              </w:rPr>
              <w:t>3</w:t>
            </w:r>
            <w:r w:rsidRPr="00DC7FF0">
              <w:rPr>
                <w:rFonts w:eastAsia="Times New Roman" w:cs="Calibri"/>
                <w:color w:val="000000"/>
                <w:sz w:val="20"/>
                <w:szCs w:val="20"/>
                <w:lang w:val="en-US"/>
              </w:rPr>
              <w:t>%</w:t>
            </w:r>
          </w:p>
        </w:tc>
        <w:tc>
          <w:tcPr>
            <w:tcW w:w="1530" w:type="dxa"/>
            <w:tcBorders>
              <w:top w:val="nil"/>
              <w:left w:val="nil"/>
              <w:bottom w:val="single" w:sz="8" w:space="0" w:color="A6A6A6"/>
              <w:right w:val="single" w:sz="4" w:space="0" w:color="auto"/>
            </w:tcBorders>
            <w:shd w:val="clear" w:color="auto" w:fill="auto"/>
            <w:vAlign w:val="center"/>
            <w:hideMark/>
          </w:tcPr>
          <w:p w14:paraId="364B9FB5" w14:textId="77777777"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$18.22</w:t>
            </w:r>
          </w:p>
        </w:tc>
        <w:tc>
          <w:tcPr>
            <w:tcW w:w="2658" w:type="dxa"/>
            <w:tcBorders>
              <w:top w:val="nil"/>
              <w:left w:val="single" w:sz="4" w:space="0" w:color="auto"/>
              <w:bottom w:val="single" w:sz="8" w:space="0" w:color="A6A6A6"/>
              <w:right w:val="single" w:sz="4" w:space="0" w:color="auto"/>
            </w:tcBorders>
            <w:vAlign w:val="center"/>
          </w:tcPr>
          <w:p w14:paraId="1D29CFB7" w14:textId="26633232"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93.1%</w:t>
            </w:r>
          </w:p>
        </w:tc>
      </w:tr>
      <w:tr w:rsidR="00C67AD1" w:rsidRPr="00DC7FF0" w14:paraId="558CB537" w14:textId="538C7388" w:rsidTr="00C67AD1">
        <w:trPr>
          <w:trHeight w:val="205"/>
        </w:trPr>
        <w:tc>
          <w:tcPr>
            <w:tcW w:w="2600" w:type="dxa"/>
            <w:tcBorders>
              <w:top w:val="nil"/>
              <w:left w:val="single" w:sz="8" w:space="0" w:color="auto"/>
              <w:bottom w:val="single" w:sz="8" w:space="0" w:color="A6A6A6"/>
              <w:right w:val="single" w:sz="8" w:space="0" w:color="auto"/>
            </w:tcBorders>
            <w:shd w:val="clear" w:color="auto" w:fill="auto"/>
            <w:noWrap/>
            <w:vAlign w:val="center"/>
            <w:hideMark/>
          </w:tcPr>
          <w:p w14:paraId="7EF75E2A" w14:textId="77777777" w:rsidR="00C67AD1" w:rsidRPr="00DC7FF0" w:rsidRDefault="00C67AD1" w:rsidP="00C67AD1">
            <w:pPr>
              <w:spacing w:after="0" w:line="240" w:lineRule="auto"/>
              <w:rPr>
                <w:rFonts w:eastAsia="Times New Roman" w:cs="Calibri"/>
                <w:color w:val="000000"/>
                <w:sz w:val="20"/>
                <w:szCs w:val="20"/>
                <w:lang w:val="en-US"/>
              </w:rPr>
            </w:pPr>
            <w:r w:rsidRPr="00DC7FF0">
              <w:rPr>
                <w:rFonts w:eastAsia="Times New Roman" w:cs="Calibri"/>
                <w:color w:val="000000"/>
                <w:sz w:val="20"/>
                <w:szCs w:val="20"/>
                <w:lang w:val="en-US"/>
              </w:rPr>
              <w:t>Store shelf stockers, clerks and order fillers</w:t>
            </w:r>
          </w:p>
        </w:tc>
        <w:tc>
          <w:tcPr>
            <w:tcW w:w="1350" w:type="dxa"/>
            <w:tcBorders>
              <w:top w:val="nil"/>
              <w:left w:val="nil"/>
              <w:bottom w:val="single" w:sz="8" w:space="0" w:color="A6A6A6"/>
              <w:right w:val="single" w:sz="8" w:space="0" w:color="auto"/>
            </w:tcBorders>
            <w:shd w:val="clear" w:color="auto" w:fill="auto"/>
            <w:vAlign w:val="center"/>
            <w:hideMark/>
          </w:tcPr>
          <w:p w14:paraId="72E45A87" w14:textId="77777777"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2,519</w:t>
            </w:r>
          </w:p>
        </w:tc>
        <w:tc>
          <w:tcPr>
            <w:tcW w:w="1350" w:type="dxa"/>
            <w:tcBorders>
              <w:top w:val="nil"/>
              <w:left w:val="nil"/>
              <w:bottom w:val="single" w:sz="8" w:space="0" w:color="A6A6A6"/>
              <w:right w:val="single" w:sz="8" w:space="0" w:color="auto"/>
            </w:tcBorders>
            <w:shd w:val="clear" w:color="auto" w:fill="auto"/>
            <w:vAlign w:val="center"/>
            <w:hideMark/>
          </w:tcPr>
          <w:p w14:paraId="3D71F530" w14:textId="2CD71199"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10.0%</w:t>
            </w:r>
          </w:p>
        </w:tc>
        <w:tc>
          <w:tcPr>
            <w:tcW w:w="1530" w:type="dxa"/>
            <w:tcBorders>
              <w:top w:val="nil"/>
              <w:left w:val="nil"/>
              <w:bottom w:val="single" w:sz="8" w:space="0" w:color="A6A6A6"/>
              <w:right w:val="single" w:sz="4" w:space="0" w:color="auto"/>
            </w:tcBorders>
            <w:shd w:val="clear" w:color="auto" w:fill="auto"/>
            <w:vAlign w:val="center"/>
            <w:hideMark/>
          </w:tcPr>
          <w:p w14:paraId="169B0E9F" w14:textId="77777777"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$13.88</w:t>
            </w:r>
          </w:p>
        </w:tc>
        <w:tc>
          <w:tcPr>
            <w:tcW w:w="2658" w:type="dxa"/>
            <w:tcBorders>
              <w:top w:val="nil"/>
              <w:left w:val="single" w:sz="4" w:space="0" w:color="auto"/>
              <w:bottom w:val="single" w:sz="8" w:space="0" w:color="A6A6A6"/>
              <w:right w:val="single" w:sz="4" w:space="0" w:color="auto"/>
            </w:tcBorders>
            <w:vAlign w:val="center"/>
          </w:tcPr>
          <w:p w14:paraId="215BBA4F" w14:textId="4689600F"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93.8%</w:t>
            </w:r>
          </w:p>
        </w:tc>
      </w:tr>
      <w:tr w:rsidR="00C67AD1" w:rsidRPr="00DC7FF0" w14:paraId="6CF4047F" w14:textId="7B4353C3" w:rsidTr="00C67AD1">
        <w:trPr>
          <w:trHeight w:val="125"/>
        </w:trPr>
        <w:tc>
          <w:tcPr>
            <w:tcW w:w="2600" w:type="dxa"/>
            <w:tcBorders>
              <w:top w:val="nil"/>
              <w:left w:val="single" w:sz="8" w:space="0" w:color="auto"/>
              <w:bottom w:val="single" w:sz="8" w:space="0" w:color="auto"/>
              <w:right w:val="single" w:sz="8" w:space="0" w:color="auto"/>
            </w:tcBorders>
            <w:shd w:val="clear" w:color="auto" w:fill="auto"/>
            <w:noWrap/>
            <w:vAlign w:val="center"/>
            <w:hideMark/>
          </w:tcPr>
          <w:p w14:paraId="1210D573" w14:textId="77777777" w:rsidR="00C67AD1" w:rsidRPr="00DC7FF0" w:rsidRDefault="00C67AD1" w:rsidP="00C67AD1">
            <w:pPr>
              <w:spacing w:after="0" w:line="240" w:lineRule="auto"/>
              <w:rPr>
                <w:rFonts w:eastAsia="Times New Roman" w:cs="Calibri"/>
                <w:color w:val="000000"/>
                <w:sz w:val="20"/>
                <w:szCs w:val="20"/>
                <w:lang w:val="en-US"/>
              </w:rPr>
            </w:pPr>
            <w:r w:rsidRPr="00DC7FF0">
              <w:rPr>
                <w:rFonts w:eastAsia="Times New Roman" w:cs="Calibri"/>
                <w:color w:val="000000"/>
                <w:sz w:val="20"/>
                <w:szCs w:val="20"/>
                <w:lang w:val="en-US"/>
              </w:rPr>
              <w:t>Retail and wholesale trade managers</w:t>
            </w:r>
          </w:p>
        </w:tc>
        <w:tc>
          <w:tcPr>
            <w:tcW w:w="1350" w:type="dxa"/>
            <w:tcBorders>
              <w:top w:val="nil"/>
              <w:left w:val="nil"/>
              <w:bottom w:val="single" w:sz="8" w:space="0" w:color="auto"/>
              <w:right w:val="single" w:sz="8" w:space="0" w:color="auto"/>
            </w:tcBorders>
            <w:shd w:val="clear" w:color="auto" w:fill="auto"/>
            <w:vAlign w:val="center"/>
            <w:hideMark/>
          </w:tcPr>
          <w:p w14:paraId="2AD967C8" w14:textId="77777777"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1,692</w:t>
            </w:r>
          </w:p>
        </w:tc>
        <w:tc>
          <w:tcPr>
            <w:tcW w:w="1350" w:type="dxa"/>
            <w:tcBorders>
              <w:top w:val="nil"/>
              <w:left w:val="nil"/>
              <w:bottom w:val="single" w:sz="8" w:space="0" w:color="auto"/>
              <w:right w:val="single" w:sz="8" w:space="0" w:color="auto"/>
            </w:tcBorders>
            <w:shd w:val="clear" w:color="auto" w:fill="auto"/>
            <w:vAlign w:val="center"/>
            <w:hideMark/>
          </w:tcPr>
          <w:p w14:paraId="716F36AD" w14:textId="6E2FF185"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6.7%</w:t>
            </w:r>
          </w:p>
        </w:tc>
        <w:tc>
          <w:tcPr>
            <w:tcW w:w="1530" w:type="dxa"/>
            <w:tcBorders>
              <w:top w:val="nil"/>
              <w:left w:val="nil"/>
              <w:bottom w:val="single" w:sz="8" w:space="0" w:color="auto"/>
              <w:right w:val="single" w:sz="4" w:space="0" w:color="auto"/>
            </w:tcBorders>
            <w:shd w:val="clear" w:color="auto" w:fill="auto"/>
            <w:vAlign w:val="center"/>
            <w:hideMark/>
          </w:tcPr>
          <w:p w14:paraId="304BF49D" w14:textId="77777777"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$40.33</w:t>
            </w:r>
          </w:p>
        </w:tc>
        <w:tc>
          <w:tcPr>
            <w:tcW w:w="2658" w:type="dxa"/>
            <w:tcBorders>
              <w:top w:val="nil"/>
              <w:left w:val="single" w:sz="4" w:space="0" w:color="auto"/>
              <w:bottom w:val="single" w:sz="4" w:space="0" w:color="auto"/>
              <w:right w:val="single" w:sz="4" w:space="0" w:color="auto"/>
            </w:tcBorders>
            <w:vAlign w:val="center"/>
          </w:tcPr>
          <w:p w14:paraId="48B0C66C" w14:textId="1F370C9F" w:rsidR="00C67AD1" w:rsidRPr="00DC7FF0" w:rsidRDefault="00C67AD1" w:rsidP="00C67AD1">
            <w:pPr>
              <w:spacing w:after="0" w:line="240" w:lineRule="auto"/>
              <w:jc w:val="center"/>
              <w:rPr>
                <w:rFonts w:eastAsia="Times New Roman" w:cs="Calibri"/>
                <w:color w:val="000000"/>
                <w:sz w:val="20"/>
                <w:szCs w:val="20"/>
                <w:lang w:val="en-US"/>
              </w:rPr>
            </w:pPr>
            <w:r w:rsidRPr="00DC7FF0">
              <w:rPr>
                <w:rFonts w:eastAsia="Times New Roman" w:cs="Calibri"/>
                <w:color w:val="000000"/>
                <w:sz w:val="20"/>
                <w:szCs w:val="20"/>
                <w:lang w:val="en-US"/>
              </w:rPr>
              <w:t>86.6%</w:t>
            </w:r>
          </w:p>
        </w:tc>
      </w:tr>
    </w:tbl>
    <w:p w14:paraId="7FD6CDD8" w14:textId="7B99D0CF" w:rsidR="005B0797" w:rsidRPr="00DC7FF0" w:rsidRDefault="00DC7FF0" w:rsidP="00C7755A">
      <w:pPr>
        <w:rPr>
          <w:sz w:val="16"/>
          <w:szCs w:val="16"/>
        </w:rPr>
      </w:pPr>
      <w:r w:rsidRPr="00E32053">
        <w:rPr>
          <w:sz w:val="16"/>
          <w:szCs w:val="16"/>
        </w:rPr>
        <w:t xml:space="preserve">Source: </w:t>
      </w:r>
      <w:r w:rsidR="00A410B2">
        <w:rPr>
          <w:sz w:val="16"/>
          <w:szCs w:val="16"/>
        </w:rPr>
        <w:t xml:space="preserve">Commuting data - </w:t>
      </w:r>
      <w:r>
        <w:rPr>
          <w:sz w:val="16"/>
          <w:szCs w:val="16"/>
        </w:rPr>
        <w:t xml:space="preserve">Statistics Canada, 2016 Census. Custom Data Tabulation; </w:t>
      </w:r>
      <w:r w:rsidR="00A410B2">
        <w:rPr>
          <w:sz w:val="16"/>
          <w:szCs w:val="16"/>
        </w:rPr>
        <w:t xml:space="preserve">Job counts and wage data - </w:t>
      </w:r>
      <w:r w:rsidRPr="00E32053">
        <w:rPr>
          <w:sz w:val="16"/>
          <w:szCs w:val="16"/>
        </w:rPr>
        <w:t>EMSI An</w:t>
      </w:r>
      <w:r>
        <w:rPr>
          <w:sz w:val="16"/>
          <w:szCs w:val="16"/>
        </w:rPr>
        <w:t>alyst, 2020.1 dataset, employee</w:t>
      </w:r>
    </w:p>
    <w:p w14:paraId="52175534" w14:textId="43AEB07F" w:rsidR="00DA44E7" w:rsidRPr="006A694A" w:rsidRDefault="00DA44E7" w:rsidP="53EE565F">
      <w:pPr>
        <w:spacing w:after="0" w:line="257" w:lineRule="auto"/>
        <w:rPr>
          <w:sz w:val="22"/>
        </w:rPr>
      </w:pPr>
      <w:r w:rsidRPr="39D91066">
        <w:rPr>
          <w:sz w:val="22"/>
        </w:rPr>
        <w:t xml:space="preserve">Our first report </w:t>
      </w:r>
      <w:r w:rsidR="00522C3A" w:rsidRPr="39D91066">
        <w:rPr>
          <w:sz w:val="22"/>
        </w:rPr>
        <w:t xml:space="preserve">on the </w:t>
      </w:r>
      <w:r w:rsidR="00DB67BC" w:rsidRPr="39D91066">
        <w:rPr>
          <w:sz w:val="22"/>
        </w:rPr>
        <w:t xml:space="preserve">general </w:t>
      </w:r>
      <w:r w:rsidR="00522C3A" w:rsidRPr="39D91066">
        <w:rPr>
          <w:sz w:val="22"/>
        </w:rPr>
        <w:t>impact</w:t>
      </w:r>
      <w:r w:rsidR="00DB67BC" w:rsidRPr="39D91066">
        <w:rPr>
          <w:sz w:val="22"/>
        </w:rPr>
        <w:t>s</w:t>
      </w:r>
      <w:r w:rsidR="00522C3A" w:rsidRPr="39D91066">
        <w:rPr>
          <w:sz w:val="22"/>
        </w:rPr>
        <w:t xml:space="preserve"> of COVID-19 </w:t>
      </w:r>
      <w:r w:rsidRPr="39D91066">
        <w:rPr>
          <w:sz w:val="22"/>
        </w:rPr>
        <w:t>showed that lower income</w:t>
      </w:r>
      <w:r w:rsidR="00522C3A" w:rsidRPr="39D91066">
        <w:rPr>
          <w:sz w:val="22"/>
        </w:rPr>
        <w:t xml:space="preserve"> individuals</w:t>
      </w:r>
      <w:r w:rsidRPr="39D91066">
        <w:rPr>
          <w:sz w:val="22"/>
        </w:rPr>
        <w:t xml:space="preserve">, youth, </w:t>
      </w:r>
      <w:r w:rsidR="00522C3A" w:rsidRPr="39D91066">
        <w:rPr>
          <w:sz w:val="22"/>
        </w:rPr>
        <w:t xml:space="preserve">and </w:t>
      </w:r>
      <w:r w:rsidR="00963B50" w:rsidRPr="39D91066">
        <w:rPr>
          <w:sz w:val="22"/>
        </w:rPr>
        <w:t>part-</w:t>
      </w:r>
      <w:r w:rsidR="00520459" w:rsidRPr="39D91066">
        <w:rPr>
          <w:sz w:val="22"/>
        </w:rPr>
        <w:t>time workers</w:t>
      </w:r>
      <w:r w:rsidRPr="39D91066">
        <w:rPr>
          <w:sz w:val="22"/>
        </w:rPr>
        <w:t xml:space="preserve"> are </w:t>
      </w:r>
      <w:r w:rsidR="00520459" w:rsidRPr="39D91066">
        <w:rPr>
          <w:sz w:val="22"/>
        </w:rPr>
        <w:t>all</w:t>
      </w:r>
      <w:r w:rsidRPr="39D91066">
        <w:rPr>
          <w:sz w:val="22"/>
        </w:rPr>
        <w:t xml:space="preserve"> </w:t>
      </w:r>
      <w:r w:rsidR="006C3F4D" w:rsidRPr="39D91066">
        <w:rPr>
          <w:sz w:val="22"/>
        </w:rPr>
        <w:t xml:space="preserve">vulnerable </w:t>
      </w:r>
      <w:r w:rsidR="00522C3A" w:rsidRPr="39D91066">
        <w:rPr>
          <w:sz w:val="22"/>
        </w:rPr>
        <w:t>to the negative effects of</w:t>
      </w:r>
      <w:r w:rsidRPr="39D91066">
        <w:rPr>
          <w:sz w:val="22"/>
        </w:rPr>
        <w:t xml:space="preserve"> COVID-19</w:t>
      </w:r>
      <w:r w:rsidR="006A694A" w:rsidRPr="39D91066">
        <w:rPr>
          <w:sz w:val="22"/>
        </w:rPr>
        <w:t xml:space="preserve">. </w:t>
      </w:r>
      <w:r w:rsidR="00963B50" w:rsidRPr="39D91066">
        <w:rPr>
          <w:sz w:val="22"/>
        </w:rPr>
        <w:t>As the above data show, all three of these demographic</w:t>
      </w:r>
      <w:r w:rsidR="00DB67BC" w:rsidRPr="39D91066">
        <w:rPr>
          <w:sz w:val="22"/>
        </w:rPr>
        <w:t xml:space="preserve"> group</w:t>
      </w:r>
      <w:r w:rsidR="00963B50" w:rsidRPr="39D91066">
        <w:rPr>
          <w:sz w:val="22"/>
        </w:rPr>
        <w:t>s are heavily represented within the retail trade</w:t>
      </w:r>
      <w:r w:rsidR="04E59763" w:rsidRPr="39D91066">
        <w:rPr>
          <w:sz w:val="22"/>
        </w:rPr>
        <w:t xml:space="preserve"> </w:t>
      </w:r>
      <w:r w:rsidR="00963B50" w:rsidRPr="39D91066">
        <w:rPr>
          <w:sz w:val="22"/>
        </w:rPr>
        <w:t>s</w:t>
      </w:r>
      <w:r w:rsidR="59152BC8" w:rsidRPr="39D91066">
        <w:rPr>
          <w:sz w:val="22"/>
        </w:rPr>
        <w:t>ector</w:t>
      </w:r>
      <w:r w:rsidR="00963B50" w:rsidRPr="39D91066">
        <w:rPr>
          <w:sz w:val="22"/>
        </w:rPr>
        <w:t xml:space="preserve">. Further reporting and employer engagement during this project will assess </w:t>
      </w:r>
      <w:r w:rsidR="00B67151" w:rsidRPr="39D91066">
        <w:rPr>
          <w:sz w:val="22"/>
        </w:rPr>
        <w:t>best practices to</w:t>
      </w:r>
      <w:r w:rsidR="00963B50" w:rsidRPr="39D91066">
        <w:rPr>
          <w:sz w:val="22"/>
        </w:rPr>
        <w:t xml:space="preserve"> mitigate these challenges</w:t>
      </w:r>
      <w:r w:rsidR="00955426" w:rsidRPr="39D91066">
        <w:rPr>
          <w:sz w:val="22"/>
        </w:rPr>
        <w:t xml:space="preserve">. </w:t>
      </w:r>
    </w:p>
    <w:sectPr w:rsidR="00DA44E7" w:rsidRPr="006A694A">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99D62D" w16cex:dateUtc="2020-09-29T20:45:22.191Z"/>
  <w16cex:commentExtensible w16cex:durableId="05897BFB" w16cex:dateUtc="2020-09-29T20:47:37.832Z"/>
  <w16cex:commentExtensible w16cex:durableId="6590BE9B" w16cex:dateUtc="2020-09-29T20:48:21.049Z"/>
  <w16cex:commentExtensible w16cex:durableId="7E142015" w16cex:dateUtc="2020-09-30T16:05:13.692Z"/>
  <w16cex:commentExtensible w16cex:durableId="5EACCCEE" w16cex:dateUtc="2020-09-30T16:06:22.341Z"/>
  <w16cex:commentExtensible w16cex:durableId="5604B035" w16cex:dateUtc="2020-09-30T16:06:37.845Z"/>
</w16cex:commentsExtensible>
</file>

<file path=word/commentsIds.xml><?xml version="1.0" encoding="utf-8"?>
<w16cid:commentsIds xmlns:mc="http://schemas.openxmlformats.org/markup-compatibility/2006" xmlns:w16cid="http://schemas.microsoft.com/office/word/2016/wordml/cid" mc:Ignorable="w16cid">
  <w16cid:commentId w16cid:paraId="1C9679FC" w16cid:durableId="7799D62D"/>
  <w16cid:commentId w16cid:paraId="68C2D139" w16cid:durableId="05897BFB"/>
  <w16cid:commentId w16cid:paraId="51C1D628" w16cid:durableId="6590BE9B"/>
  <w16cid:commentId w16cid:paraId="7CF3E853" w16cid:durableId="7E142015"/>
  <w16cid:commentId w16cid:paraId="13ED4B43" w16cid:durableId="5EACCCEE"/>
  <w16cid:commentId w16cid:paraId="0FFA36E3" w16cid:durableId="5604B0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18331" w14:textId="77777777" w:rsidR="00871FD8" w:rsidRDefault="00871FD8" w:rsidP="00DA44E7">
      <w:pPr>
        <w:spacing w:after="0" w:line="240" w:lineRule="auto"/>
      </w:pPr>
      <w:r>
        <w:separator/>
      </w:r>
    </w:p>
  </w:endnote>
  <w:endnote w:type="continuationSeparator" w:id="0">
    <w:p w14:paraId="2D9C1BCB" w14:textId="77777777" w:rsidR="00871FD8" w:rsidRDefault="00871FD8" w:rsidP="00DA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EFCDC" w14:textId="77777777" w:rsidR="00871FD8" w:rsidRDefault="00871FD8" w:rsidP="00DA44E7">
      <w:pPr>
        <w:spacing w:after="0" w:line="240" w:lineRule="auto"/>
      </w:pPr>
      <w:r>
        <w:separator/>
      </w:r>
    </w:p>
  </w:footnote>
  <w:footnote w:type="continuationSeparator" w:id="0">
    <w:p w14:paraId="32C3583A" w14:textId="77777777" w:rsidR="00871FD8" w:rsidRDefault="00871FD8" w:rsidP="00DA44E7">
      <w:pPr>
        <w:spacing w:after="0" w:line="240" w:lineRule="auto"/>
      </w:pPr>
      <w:r>
        <w:continuationSeparator/>
      </w:r>
    </w:p>
  </w:footnote>
  <w:footnote w:id="1">
    <w:p w14:paraId="4725D73A" w14:textId="6EF5C46A" w:rsidR="00522C3A" w:rsidRPr="00522C3A" w:rsidRDefault="00522C3A" w:rsidP="000632F9">
      <w:pPr>
        <w:pStyle w:val="FootnoteText"/>
        <w:contextualSpacing/>
        <w:rPr>
          <w:lang w:val="en-US"/>
        </w:rPr>
      </w:pPr>
      <w:r>
        <w:rPr>
          <w:rStyle w:val="FootnoteReference"/>
        </w:rPr>
        <w:footnoteRef/>
      </w:r>
      <w:r w:rsidRPr="00522C3A">
        <w:rPr>
          <w:sz w:val="16"/>
          <w:szCs w:val="16"/>
        </w:rPr>
        <w:t xml:space="preserve"> </w:t>
      </w:r>
      <w:r w:rsidRPr="00522C3A">
        <w:rPr>
          <w:sz w:val="16"/>
          <w:szCs w:val="16"/>
          <w:lang w:val="en-US"/>
        </w:rPr>
        <w:t>We use data from the 2016 census here because the Labour Force Survey does not allow for breakdowns by local employment, industry, and age cohorts. As such, the most recent relevant data is from the 2016 Census.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E5095"/>
    <w:multiLevelType w:val="hybridMultilevel"/>
    <w:tmpl w:val="6B283570"/>
    <w:lvl w:ilvl="0" w:tplc="7FC4116A">
      <w:start w:val="39"/>
      <w:numFmt w:val="bullet"/>
      <w:lvlText w:val="-"/>
      <w:lvlJc w:val="left"/>
      <w:pPr>
        <w:ind w:left="720" w:hanging="36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E7"/>
    <w:rsid w:val="00052460"/>
    <w:rsid w:val="000632F9"/>
    <w:rsid w:val="00063B12"/>
    <w:rsid w:val="00194EE7"/>
    <w:rsid w:val="001C3683"/>
    <w:rsid w:val="001D7B7D"/>
    <w:rsid w:val="00244EBD"/>
    <w:rsid w:val="002650C5"/>
    <w:rsid w:val="0027374A"/>
    <w:rsid w:val="00280329"/>
    <w:rsid w:val="00283850"/>
    <w:rsid w:val="002E6B46"/>
    <w:rsid w:val="002F087D"/>
    <w:rsid w:val="003057A0"/>
    <w:rsid w:val="00317807"/>
    <w:rsid w:val="0032FC7E"/>
    <w:rsid w:val="003773F1"/>
    <w:rsid w:val="00397F0D"/>
    <w:rsid w:val="003A0D02"/>
    <w:rsid w:val="003F0803"/>
    <w:rsid w:val="003F0D68"/>
    <w:rsid w:val="00404346"/>
    <w:rsid w:val="00410A27"/>
    <w:rsid w:val="00425F7B"/>
    <w:rsid w:val="00437F7D"/>
    <w:rsid w:val="004A1640"/>
    <w:rsid w:val="004F7595"/>
    <w:rsid w:val="005000D5"/>
    <w:rsid w:val="00520459"/>
    <w:rsid w:val="00522C3A"/>
    <w:rsid w:val="005B0797"/>
    <w:rsid w:val="00604EDF"/>
    <w:rsid w:val="006256BD"/>
    <w:rsid w:val="00626E41"/>
    <w:rsid w:val="00643EA1"/>
    <w:rsid w:val="00665435"/>
    <w:rsid w:val="006A694A"/>
    <w:rsid w:val="006C0517"/>
    <w:rsid w:val="006C3F4D"/>
    <w:rsid w:val="00722107"/>
    <w:rsid w:val="00766E11"/>
    <w:rsid w:val="00772B05"/>
    <w:rsid w:val="00871FD8"/>
    <w:rsid w:val="00874E14"/>
    <w:rsid w:val="008910CA"/>
    <w:rsid w:val="008E39A6"/>
    <w:rsid w:val="00946934"/>
    <w:rsid w:val="00955426"/>
    <w:rsid w:val="00963B50"/>
    <w:rsid w:val="009939CC"/>
    <w:rsid w:val="00A307AA"/>
    <w:rsid w:val="00A405D7"/>
    <w:rsid w:val="00A410B2"/>
    <w:rsid w:val="00AC394D"/>
    <w:rsid w:val="00AF620C"/>
    <w:rsid w:val="00B06202"/>
    <w:rsid w:val="00B14325"/>
    <w:rsid w:val="00B67151"/>
    <w:rsid w:val="00BD186F"/>
    <w:rsid w:val="00BF0F0B"/>
    <w:rsid w:val="00C103F9"/>
    <w:rsid w:val="00C15045"/>
    <w:rsid w:val="00C22ECE"/>
    <w:rsid w:val="00C67AD1"/>
    <w:rsid w:val="00C75C01"/>
    <w:rsid w:val="00C7755A"/>
    <w:rsid w:val="00CB3E97"/>
    <w:rsid w:val="00D141BB"/>
    <w:rsid w:val="00D325AE"/>
    <w:rsid w:val="00D7394D"/>
    <w:rsid w:val="00DA44E7"/>
    <w:rsid w:val="00DB67BC"/>
    <w:rsid w:val="00DC7FF0"/>
    <w:rsid w:val="00DE3B7C"/>
    <w:rsid w:val="00E23966"/>
    <w:rsid w:val="00E41AFB"/>
    <w:rsid w:val="00E458DF"/>
    <w:rsid w:val="00E5005B"/>
    <w:rsid w:val="00E61DB0"/>
    <w:rsid w:val="00EE5B7F"/>
    <w:rsid w:val="00F3060E"/>
    <w:rsid w:val="00F33B4A"/>
    <w:rsid w:val="00F90241"/>
    <w:rsid w:val="00FA51E5"/>
    <w:rsid w:val="00FB4BE1"/>
    <w:rsid w:val="04018EDB"/>
    <w:rsid w:val="04E59763"/>
    <w:rsid w:val="08A4196E"/>
    <w:rsid w:val="09AC2504"/>
    <w:rsid w:val="0C51F48A"/>
    <w:rsid w:val="0E19078D"/>
    <w:rsid w:val="0FCFD7EE"/>
    <w:rsid w:val="10343798"/>
    <w:rsid w:val="121FD28F"/>
    <w:rsid w:val="16043BE8"/>
    <w:rsid w:val="16A43E26"/>
    <w:rsid w:val="16CD092E"/>
    <w:rsid w:val="182C384E"/>
    <w:rsid w:val="19335760"/>
    <w:rsid w:val="1A098A90"/>
    <w:rsid w:val="1DCD6D3C"/>
    <w:rsid w:val="1F675BCD"/>
    <w:rsid w:val="203D18C3"/>
    <w:rsid w:val="21993B67"/>
    <w:rsid w:val="23B681DD"/>
    <w:rsid w:val="279AC0FC"/>
    <w:rsid w:val="27D03962"/>
    <w:rsid w:val="28188D0A"/>
    <w:rsid w:val="29FD3BE7"/>
    <w:rsid w:val="2B8931F5"/>
    <w:rsid w:val="2C394197"/>
    <w:rsid w:val="318EA701"/>
    <w:rsid w:val="31AD93C0"/>
    <w:rsid w:val="3265FA39"/>
    <w:rsid w:val="35CEC129"/>
    <w:rsid w:val="39D91066"/>
    <w:rsid w:val="3ADBF1E4"/>
    <w:rsid w:val="3B54F20F"/>
    <w:rsid w:val="3EA197D1"/>
    <w:rsid w:val="40E3642E"/>
    <w:rsid w:val="4288E6BF"/>
    <w:rsid w:val="44136BB6"/>
    <w:rsid w:val="48071885"/>
    <w:rsid w:val="4C8C9AFF"/>
    <w:rsid w:val="4F30C805"/>
    <w:rsid w:val="51C3D861"/>
    <w:rsid w:val="53EE565F"/>
    <w:rsid w:val="57FE0435"/>
    <w:rsid w:val="59152BC8"/>
    <w:rsid w:val="5986D5D8"/>
    <w:rsid w:val="5C373C82"/>
    <w:rsid w:val="5E080D05"/>
    <w:rsid w:val="5E61B014"/>
    <w:rsid w:val="5EF173C1"/>
    <w:rsid w:val="600B89AC"/>
    <w:rsid w:val="62582DED"/>
    <w:rsid w:val="6559A9F2"/>
    <w:rsid w:val="669D6AC4"/>
    <w:rsid w:val="6784A6A1"/>
    <w:rsid w:val="6FA3B2E7"/>
    <w:rsid w:val="70524BD7"/>
    <w:rsid w:val="74FC6BF4"/>
    <w:rsid w:val="774BD09A"/>
    <w:rsid w:val="77929F95"/>
    <w:rsid w:val="7795F97B"/>
    <w:rsid w:val="77C31BFC"/>
    <w:rsid w:val="797CFB01"/>
    <w:rsid w:val="7A431C01"/>
    <w:rsid w:val="7DC7FEC5"/>
    <w:rsid w:val="7EB1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E39E"/>
  <w15:chartTrackingRefBased/>
  <w15:docId w15:val="{7EEEE443-1D5A-462C-9597-607E1076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4E7"/>
    <w:pPr>
      <w:spacing w:line="256" w:lineRule="auto"/>
    </w:pPr>
    <w:rPr>
      <w:sz w:val="24"/>
      <w:lang w:val="en-CA"/>
    </w:rPr>
  </w:style>
  <w:style w:type="paragraph" w:styleId="Heading1">
    <w:name w:val="heading 1"/>
    <w:basedOn w:val="Normal"/>
    <w:next w:val="Normal"/>
    <w:link w:val="Heading1Char"/>
    <w:uiPriority w:val="9"/>
    <w:qFormat/>
    <w:rsid w:val="00DA44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78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4E7"/>
    <w:rPr>
      <w:rFonts w:asciiTheme="majorHAnsi" w:eastAsiaTheme="majorEastAsia" w:hAnsiTheme="majorHAnsi" w:cstheme="majorBidi"/>
      <w:color w:val="2E74B5" w:themeColor="accent1" w:themeShade="BF"/>
      <w:sz w:val="32"/>
      <w:szCs w:val="32"/>
      <w:lang w:val="en-CA"/>
    </w:rPr>
  </w:style>
  <w:style w:type="character" w:styleId="CommentReference">
    <w:name w:val="annotation reference"/>
    <w:basedOn w:val="DefaultParagraphFont"/>
    <w:uiPriority w:val="99"/>
    <w:semiHidden/>
    <w:unhideWhenUsed/>
    <w:rsid w:val="00DA44E7"/>
    <w:rPr>
      <w:sz w:val="16"/>
      <w:szCs w:val="16"/>
    </w:rPr>
  </w:style>
  <w:style w:type="paragraph" w:styleId="CommentText">
    <w:name w:val="annotation text"/>
    <w:basedOn w:val="Normal"/>
    <w:link w:val="CommentTextChar"/>
    <w:uiPriority w:val="99"/>
    <w:unhideWhenUsed/>
    <w:rsid w:val="00DA44E7"/>
    <w:pPr>
      <w:spacing w:line="240" w:lineRule="auto"/>
    </w:pPr>
    <w:rPr>
      <w:sz w:val="20"/>
      <w:szCs w:val="20"/>
    </w:rPr>
  </w:style>
  <w:style w:type="character" w:customStyle="1" w:styleId="CommentTextChar">
    <w:name w:val="Comment Text Char"/>
    <w:basedOn w:val="DefaultParagraphFont"/>
    <w:link w:val="CommentText"/>
    <w:uiPriority w:val="99"/>
    <w:rsid w:val="00DA44E7"/>
    <w:rPr>
      <w:sz w:val="20"/>
      <w:szCs w:val="20"/>
      <w:lang w:val="en-CA"/>
    </w:rPr>
  </w:style>
  <w:style w:type="character" w:styleId="Strong">
    <w:name w:val="Strong"/>
    <w:basedOn w:val="DefaultParagraphFont"/>
    <w:uiPriority w:val="22"/>
    <w:qFormat/>
    <w:rsid w:val="00DA44E7"/>
    <w:rPr>
      <w:b/>
      <w:bCs/>
    </w:rPr>
  </w:style>
  <w:style w:type="paragraph" w:styleId="BalloonText">
    <w:name w:val="Balloon Text"/>
    <w:basedOn w:val="Normal"/>
    <w:link w:val="BalloonTextChar"/>
    <w:uiPriority w:val="99"/>
    <w:semiHidden/>
    <w:unhideWhenUsed/>
    <w:rsid w:val="00DA4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4E7"/>
    <w:rPr>
      <w:rFonts w:ascii="Segoe UI" w:hAnsi="Segoe UI" w:cs="Segoe UI"/>
      <w:sz w:val="18"/>
      <w:szCs w:val="18"/>
      <w:lang w:val="en-CA"/>
    </w:rPr>
  </w:style>
  <w:style w:type="paragraph" w:styleId="FootnoteText">
    <w:name w:val="footnote text"/>
    <w:basedOn w:val="Normal"/>
    <w:link w:val="FootnoteTextChar"/>
    <w:uiPriority w:val="99"/>
    <w:unhideWhenUsed/>
    <w:rsid w:val="00DA44E7"/>
    <w:pPr>
      <w:spacing w:after="0" w:line="240" w:lineRule="auto"/>
    </w:pPr>
    <w:rPr>
      <w:sz w:val="20"/>
      <w:szCs w:val="20"/>
    </w:rPr>
  </w:style>
  <w:style w:type="character" w:customStyle="1" w:styleId="FootnoteTextChar">
    <w:name w:val="Footnote Text Char"/>
    <w:basedOn w:val="DefaultParagraphFont"/>
    <w:link w:val="FootnoteText"/>
    <w:uiPriority w:val="99"/>
    <w:rsid w:val="00DA44E7"/>
    <w:rPr>
      <w:sz w:val="20"/>
      <w:szCs w:val="20"/>
      <w:lang w:val="en-CA"/>
    </w:rPr>
  </w:style>
  <w:style w:type="character" w:styleId="FootnoteReference">
    <w:name w:val="footnote reference"/>
    <w:basedOn w:val="DefaultParagraphFont"/>
    <w:uiPriority w:val="99"/>
    <w:semiHidden/>
    <w:unhideWhenUsed/>
    <w:rsid w:val="00DA44E7"/>
    <w:rPr>
      <w:vertAlign w:val="superscript"/>
    </w:rPr>
  </w:style>
  <w:style w:type="paragraph" w:styleId="CommentSubject">
    <w:name w:val="annotation subject"/>
    <w:basedOn w:val="CommentText"/>
    <w:next w:val="CommentText"/>
    <w:link w:val="CommentSubjectChar"/>
    <w:uiPriority w:val="99"/>
    <w:semiHidden/>
    <w:unhideWhenUsed/>
    <w:rsid w:val="00E458DF"/>
    <w:rPr>
      <w:b/>
      <w:bCs/>
    </w:rPr>
  </w:style>
  <w:style w:type="character" w:customStyle="1" w:styleId="CommentSubjectChar">
    <w:name w:val="Comment Subject Char"/>
    <w:basedOn w:val="CommentTextChar"/>
    <w:link w:val="CommentSubject"/>
    <w:uiPriority w:val="99"/>
    <w:semiHidden/>
    <w:rsid w:val="00E458DF"/>
    <w:rPr>
      <w:b/>
      <w:bCs/>
      <w:sz w:val="20"/>
      <w:szCs w:val="20"/>
      <w:lang w:val="en-CA"/>
    </w:rPr>
  </w:style>
  <w:style w:type="character" w:customStyle="1" w:styleId="Heading2Char">
    <w:name w:val="Heading 2 Char"/>
    <w:basedOn w:val="DefaultParagraphFont"/>
    <w:link w:val="Heading2"/>
    <w:uiPriority w:val="9"/>
    <w:rsid w:val="00317807"/>
    <w:rPr>
      <w:rFonts w:asciiTheme="majorHAnsi" w:eastAsiaTheme="majorEastAsia" w:hAnsiTheme="majorHAnsi" w:cstheme="majorBidi"/>
      <w:color w:val="2E74B5" w:themeColor="accent1" w:themeShade="BF"/>
      <w:sz w:val="26"/>
      <w:szCs w:val="26"/>
      <w:lang w:val="en-CA"/>
    </w:rPr>
  </w:style>
  <w:style w:type="paragraph" w:styleId="Revision">
    <w:name w:val="Revision"/>
    <w:hidden/>
    <w:uiPriority w:val="99"/>
    <w:semiHidden/>
    <w:rsid w:val="00C7755A"/>
    <w:pPr>
      <w:spacing w:after="0" w:line="240" w:lineRule="auto"/>
    </w:pPr>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251224">
      <w:bodyDiv w:val="1"/>
      <w:marLeft w:val="0"/>
      <w:marRight w:val="0"/>
      <w:marTop w:val="0"/>
      <w:marBottom w:val="0"/>
      <w:divBdr>
        <w:top w:val="none" w:sz="0" w:space="0" w:color="auto"/>
        <w:left w:val="none" w:sz="0" w:space="0" w:color="auto"/>
        <w:bottom w:val="none" w:sz="0" w:space="0" w:color="auto"/>
        <w:right w:val="none" w:sz="0" w:space="0" w:color="auto"/>
      </w:divBdr>
    </w:div>
    <w:div w:id="147517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aadeb3a776a54b6b" Type="http://schemas.microsoft.com/office/2018/08/relationships/commentsExtensible" Target="commentsExtensible.xml"/><Relationship Id="rId5" Type="http://schemas.openxmlformats.org/officeDocument/2006/relationships/numbering" Target="numbering.xml"/><Relationship Id="Ra220f9ed7e364620"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NWPB-FS1\Shared\Projects\NWPB%20Projects%202020-21\Revenue%20Generating\OLMP%20-%20Retail%20Trade\Reports%20-%20retail%20specific\Data\Demographics%20of%20Employment%20in%20Retail%20Trade\Custom%20Census%20Data%20-%20Age%20of%20Work%20Force,%20PT%20versus%20F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Sheet2!$C$11</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Sheet2!$B$12:$B$15</c:f>
              <c:strCache>
                <c:ptCount val="4"/>
                <c:pt idx="0">
                  <c:v>  15 to 24 years</c:v>
                </c:pt>
                <c:pt idx="1">
                  <c:v>  25 to 44 years</c:v>
                </c:pt>
                <c:pt idx="2">
                  <c:v>  45 to 54 years</c:v>
                </c:pt>
                <c:pt idx="3">
                  <c:v>  55 years and over</c:v>
                </c:pt>
              </c:strCache>
            </c:strRef>
          </c:cat>
          <c:val>
            <c:numRef>
              <c:f>Sheet2!$C$12:$C$15</c:f>
              <c:numCache>
                <c:formatCode>0.0%</c:formatCode>
                <c:ptCount val="4"/>
                <c:pt idx="0">
                  <c:v>0.5921219822109276</c:v>
                </c:pt>
                <c:pt idx="1">
                  <c:v>0.16069900142653351</c:v>
                </c:pt>
                <c:pt idx="2">
                  <c:v>0.1307472903593839</c:v>
                </c:pt>
                <c:pt idx="3">
                  <c:v>0.23312731767614339</c:v>
                </c:pt>
              </c:numCache>
            </c:numRef>
          </c:val>
        </c:ser>
        <c:ser>
          <c:idx val="1"/>
          <c:order val="1"/>
          <c:tx>
            <c:strRef>
              <c:f>Sheet2!$D$11</c:f>
              <c:strCache>
                <c:ptCount val="1"/>
                <c:pt idx="0">
                  <c:v>Retail Trade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Sheet2!$B$12:$B$15</c:f>
              <c:strCache>
                <c:ptCount val="4"/>
                <c:pt idx="0">
                  <c:v>  15 to 24 years</c:v>
                </c:pt>
                <c:pt idx="1">
                  <c:v>  25 to 44 years</c:v>
                </c:pt>
                <c:pt idx="2">
                  <c:v>  45 to 54 years</c:v>
                </c:pt>
                <c:pt idx="3">
                  <c:v>  55 years and over</c:v>
                </c:pt>
              </c:strCache>
            </c:strRef>
          </c:cat>
          <c:val>
            <c:numRef>
              <c:f>Sheet2!$D$12:$D$15</c:f>
              <c:numCache>
                <c:formatCode>0.0%</c:formatCode>
                <c:ptCount val="4"/>
                <c:pt idx="0">
                  <c:v>0.75255972696245732</c:v>
                </c:pt>
                <c:pt idx="1">
                  <c:v>0.24949014276002721</c:v>
                </c:pt>
                <c:pt idx="2">
                  <c:v>0.25112612612612611</c:v>
                </c:pt>
                <c:pt idx="3">
                  <c:v>0.39701770736253494</c:v>
                </c:pt>
              </c:numCache>
            </c:numRef>
          </c:val>
        </c:ser>
        <c:dLbls>
          <c:showLegendKey val="0"/>
          <c:showVal val="0"/>
          <c:showCatName val="0"/>
          <c:showSerName val="0"/>
          <c:showPercent val="0"/>
          <c:showBubbleSize val="0"/>
        </c:dLbls>
        <c:gapWidth val="219"/>
        <c:overlap val="-27"/>
        <c:axId val="555661768"/>
        <c:axId val="555659024"/>
      </c:barChart>
      <c:catAx>
        <c:axId val="55566176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en-US"/>
          </a:p>
        </c:txPr>
        <c:crossAx val="555659024"/>
        <c:crosses val="autoZero"/>
        <c:auto val="1"/>
        <c:lblAlgn val="ctr"/>
        <c:lblOffset val="100"/>
        <c:noMultiLvlLbl val="0"/>
      </c:catAx>
      <c:valAx>
        <c:axId val="55565902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en-US"/>
          </a:p>
        </c:txPr>
        <c:crossAx val="555661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Century Gothic" panose="020B0502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BCBD638C5D08488C3A69F20F38F032" ma:contentTypeVersion="4" ma:contentTypeDescription="Create a new document." ma:contentTypeScope="" ma:versionID="79962fb92896ca6a470a47a77a2477ef">
  <xsd:schema xmlns:xsd="http://www.w3.org/2001/XMLSchema" xmlns:xs="http://www.w3.org/2001/XMLSchema" xmlns:p="http://schemas.microsoft.com/office/2006/metadata/properties" xmlns:ns2="6ef78ea4-0b3a-4546-a13f-07d5c654a319" targetNamespace="http://schemas.microsoft.com/office/2006/metadata/properties" ma:root="true" ma:fieldsID="51117ddec1749c14edea7e674427b554" ns2:_="">
    <xsd:import namespace="6ef78ea4-0b3a-4546-a13f-07d5c654a3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78ea4-0b3a-4546-a13f-07d5c654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E50FF-1184-4A64-B7ED-EBA04325F418}">
  <ds:schemaRefs>
    <ds:schemaRef ds:uri="http://purl.org/dc/elements/1.1/"/>
    <ds:schemaRef ds:uri="6ef78ea4-0b3a-4546-a13f-07d5c654a319"/>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32ECCA1-7D18-4241-A5AB-A1B6BDE1A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78ea4-0b3a-4546-a13f-07d5c654a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FEA0A-9918-4EB4-BA06-E9F11D1B7955}">
  <ds:schemaRefs>
    <ds:schemaRef ds:uri="http://schemas.microsoft.com/sharepoint/v3/contenttype/forms"/>
  </ds:schemaRefs>
</ds:datastoreItem>
</file>

<file path=customXml/itemProps4.xml><?xml version="1.0" encoding="utf-8"?>
<ds:datastoreItem xmlns:ds="http://schemas.openxmlformats.org/officeDocument/2006/customXml" ds:itemID="{DD041514-0E08-4068-A860-44F2534A2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McPhillips</dc:creator>
  <cp:keywords/>
  <dc:description/>
  <cp:lastModifiedBy>Thalia Semplonius</cp:lastModifiedBy>
  <cp:revision>12</cp:revision>
  <dcterms:created xsi:type="dcterms:W3CDTF">2020-10-05T20:01:00Z</dcterms:created>
  <dcterms:modified xsi:type="dcterms:W3CDTF">2020-10-08T21:06:00Z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0x01010022BCBD638C5D08488C3A69F20F38F032</vt:lpwstr>
  </property>
</Properties>
</file>