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E864" w14:textId="667ACE50" w:rsidR="00281E5E" w:rsidRPr="00056810" w:rsidRDefault="003E4431" w:rsidP="003E4431">
      <w:pPr>
        <w:jc w:val="center"/>
        <w:rPr>
          <w:color w:val="2E74B5" w:themeColor="accent1" w:themeShade="BF"/>
          <w:szCs w:val="40"/>
        </w:rPr>
      </w:pPr>
      <w:r w:rsidRPr="00056810">
        <w:rPr>
          <w:color w:val="2E74B5" w:themeColor="accent1" w:themeShade="BF"/>
          <w:szCs w:val="40"/>
        </w:rPr>
        <w:t xml:space="preserve">Briefing Note on COVID-19, Tourism, and the Retail Trade </w:t>
      </w:r>
      <w:r w:rsidR="00157525">
        <w:rPr>
          <w:color w:val="2E74B5" w:themeColor="accent1" w:themeShade="BF"/>
          <w:szCs w:val="40"/>
        </w:rPr>
        <w:t>Industry</w:t>
      </w:r>
      <w:r w:rsidR="00157525" w:rsidRPr="00056810">
        <w:rPr>
          <w:color w:val="2E74B5" w:themeColor="accent1" w:themeShade="BF"/>
          <w:szCs w:val="40"/>
        </w:rPr>
        <w:t xml:space="preserve"> </w:t>
      </w:r>
      <w:r w:rsidRPr="00056810">
        <w:rPr>
          <w:color w:val="2E74B5" w:themeColor="accent1" w:themeShade="BF"/>
          <w:szCs w:val="40"/>
        </w:rPr>
        <w:t>in Niagara</w:t>
      </w:r>
    </w:p>
    <w:p w14:paraId="10379BA4" w14:textId="1D281743" w:rsidR="002A5283" w:rsidRPr="00C96648" w:rsidRDefault="002A5283" w:rsidP="7C2E33B1">
      <w:pPr>
        <w:rPr>
          <w:sz w:val="22"/>
        </w:rPr>
      </w:pPr>
      <w:r w:rsidRPr="71FE9B99">
        <w:rPr>
          <w:sz w:val="22"/>
        </w:rPr>
        <w:t xml:space="preserve">This briefing note is </w:t>
      </w:r>
      <w:r w:rsidR="71DC5A38" w:rsidRPr="71FE9B99">
        <w:rPr>
          <w:sz w:val="22"/>
        </w:rPr>
        <w:t xml:space="preserve">part </w:t>
      </w:r>
      <w:r w:rsidRPr="71FE9B99">
        <w:rPr>
          <w:sz w:val="22"/>
        </w:rPr>
        <w:t xml:space="preserve">of a series on COVID-19 and its impact on the retail trade </w:t>
      </w:r>
      <w:r w:rsidR="00864611" w:rsidRPr="71FE9B99">
        <w:rPr>
          <w:sz w:val="22"/>
        </w:rPr>
        <w:t>industry</w:t>
      </w:r>
      <w:r w:rsidRPr="71FE9B99">
        <w:rPr>
          <w:sz w:val="22"/>
        </w:rPr>
        <w:t>. This piece focuses on the</w:t>
      </w:r>
      <w:r w:rsidR="2A0ED5E5" w:rsidRPr="71FE9B99">
        <w:rPr>
          <w:sz w:val="22"/>
        </w:rPr>
        <w:t xml:space="preserve"> </w:t>
      </w:r>
      <w:r w:rsidRPr="71FE9B99">
        <w:rPr>
          <w:sz w:val="22"/>
        </w:rPr>
        <w:t xml:space="preserve">link </w:t>
      </w:r>
      <w:r w:rsidR="4724316C" w:rsidRPr="71FE9B99">
        <w:rPr>
          <w:sz w:val="22"/>
        </w:rPr>
        <w:t xml:space="preserve">between retail trade </w:t>
      </w:r>
      <w:r w:rsidR="12595CDB" w:rsidRPr="71FE9B99">
        <w:rPr>
          <w:sz w:val="22"/>
        </w:rPr>
        <w:t>and</w:t>
      </w:r>
      <w:r w:rsidRPr="71FE9B99">
        <w:rPr>
          <w:sz w:val="22"/>
        </w:rPr>
        <w:t xml:space="preserve"> tourism</w:t>
      </w:r>
      <w:r w:rsidR="00F57BA1" w:rsidRPr="71FE9B99">
        <w:rPr>
          <w:sz w:val="22"/>
        </w:rPr>
        <w:t xml:space="preserve">. </w:t>
      </w:r>
      <w:r w:rsidR="004D4BF5" w:rsidRPr="71FE9B99">
        <w:rPr>
          <w:sz w:val="22"/>
        </w:rPr>
        <w:t>Examining</w:t>
      </w:r>
      <w:r w:rsidR="00F57BA1" w:rsidRPr="71FE9B99">
        <w:rPr>
          <w:sz w:val="22"/>
        </w:rPr>
        <w:t xml:space="preserve"> </w:t>
      </w:r>
      <w:r w:rsidR="005860E7" w:rsidRPr="71FE9B99">
        <w:rPr>
          <w:sz w:val="22"/>
        </w:rPr>
        <w:t>retail and tourism</w:t>
      </w:r>
      <w:r w:rsidR="00F57BA1" w:rsidRPr="71FE9B99">
        <w:rPr>
          <w:sz w:val="22"/>
        </w:rPr>
        <w:t xml:space="preserve"> together</w:t>
      </w:r>
      <w:r w:rsidR="000A7C09" w:rsidRPr="71FE9B99">
        <w:rPr>
          <w:sz w:val="22"/>
        </w:rPr>
        <w:t xml:space="preserve"> allow</w:t>
      </w:r>
      <w:r w:rsidR="00864611" w:rsidRPr="71FE9B99">
        <w:rPr>
          <w:sz w:val="22"/>
        </w:rPr>
        <w:t>s</w:t>
      </w:r>
      <w:r w:rsidR="000A7C09" w:rsidRPr="71FE9B99">
        <w:rPr>
          <w:sz w:val="22"/>
        </w:rPr>
        <w:t xml:space="preserve"> us to compare</w:t>
      </w:r>
      <w:r w:rsidR="00F57BA1" w:rsidRPr="71FE9B99">
        <w:rPr>
          <w:sz w:val="22"/>
        </w:rPr>
        <w:t xml:space="preserve"> the </w:t>
      </w:r>
      <w:r w:rsidR="000A7C09" w:rsidRPr="71FE9B99">
        <w:rPr>
          <w:sz w:val="22"/>
        </w:rPr>
        <w:t>impacts of the pandemic on these sectors</w:t>
      </w:r>
      <w:r w:rsidR="00F57BA1" w:rsidRPr="71FE9B99">
        <w:rPr>
          <w:sz w:val="22"/>
        </w:rPr>
        <w:t xml:space="preserve"> and </w:t>
      </w:r>
      <w:r w:rsidR="75F01EB9" w:rsidRPr="71FE9B99">
        <w:rPr>
          <w:sz w:val="22"/>
        </w:rPr>
        <w:t xml:space="preserve">assess </w:t>
      </w:r>
      <w:r w:rsidR="00F57BA1" w:rsidRPr="71FE9B99">
        <w:rPr>
          <w:sz w:val="22"/>
        </w:rPr>
        <w:t>their immediate needs</w:t>
      </w:r>
      <w:r w:rsidRPr="71FE9B99">
        <w:rPr>
          <w:sz w:val="22"/>
        </w:rPr>
        <w:t xml:space="preserve">. Other briefing notes </w:t>
      </w:r>
      <w:r w:rsidR="00050A4F" w:rsidRPr="71FE9B99">
        <w:rPr>
          <w:sz w:val="22"/>
        </w:rPr>
        <w:t xml:space="preserve">in this series </w:t>
      </w:r>
      <w:r w:rsidRPr="71FE9B99">
        <w:rPr>
          <w:sz w:val="22"/>
        </w:rPr>
        <w:t xml:space="preserve">focus on the impact of the pandemic on retail from a national and provincial perspective, retail trade employees, </w:t>
      </w:r>
      <w:r w:rsidR="00817989" w:rsidRPr="71FE9B99">
        <w:rPr>
          <w:sz w:val="22"/>
        </w:rPr>
        <w:t>and</w:t>
      </w:r>
      <w:r w:rsidRPr="71FE9B99">
        <w:rPr>
          <w:sz w:val="22"/>
        </w:rPr>
        <w:t xml:space="preserve"> what a post-pandemic reality might look like for Niagara’s retail trade </w:t>
      </w:r>
      <w:r w:rsidR="00D04ACF" w:rsidRPr="71FE9B99">
        <w:rPr>
          <w:sz w:val="22"/>
        </w:rPr>
        <w:t>industry</w:t>
      </w:r>
      <w:r w:rsidRPr="71FE9B99">
        <w:rPr>
          <w:sz w:val="22"/>
        </w:rPr>
        <w:t xml:space="preserve">. </w:t>
      </w:r>
    </w:p>
    <w:p w14:paraId="2E7F01EC" w14:textId="128BA79E" w:rsidR="00281E5E" w:rsidRPr="00056810" w:rsidRDefault="00512052" w:rsidP="00281E5E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color w:val="auto"/>
          <w:sz w:val="22"/>
          <w:szCs w:val="22"/>
          <w:shd w:val="clear" w:color="auto" w:fill="FFFFFF"/>
        </w:rPr>
        <w:t>In response to the COVID-19 pandemic</w:t>
      </w:r>
      <w:r w:rsidR="00050286" w:rsidRPr="005A1EB7">
        <w:rPr>
          <w:rFonts w:ascii="Century Gothic" w:hAnsi="Century Gothic"/>
          <w:color w:val="auto"/>
          <w:sz w:val="22"/>
          <w:szCs w:val="22"/>
        </w:rPr>
        <w:t>, governments in Canada enacted a series of supports, recommendations</w:t>
      </w:r>
      <w:r w:rsidR="00050286" w:rsidRPr="00946BBF">
        <w:rPr>
          <w:rFonts w:ascii="Century Gothic" w:hAnsi="Century Gothic"/>
          <w:sz w:val="22"/>
          <w:szCs w:val="22"/>
        </w:rPr>
        <w:t xml:space="preserve">, and by-laws to slow the spread of COVID-19. Though these supports and mandates </w:t>
      </w:r>
      <w:r w:rsidR="00050286" w:rsidRPr="005A1EB7">
        <w:rPr>
          <w:rFonts w:ascii="Century Gothic" w:hAnsi="Century Gothic"/>
          <w:color w:val="auto"/>
          <w:sz w:val="22"/>
          <w:szCs w:val="22"/>
        </w:rPr>
        <w:t>helped slow the</w:t>
      </w:r>
      <w:r w:rsidR="00050A4F">
        <w:rPr>
          <w:rFonts w:ascii="Century Gothic" w:hAnsi="Century Gothic"/>
          <w:color w:val="auto"/>
          <w:sz w:val="22"/>
          <w:szCs w:val="22"/>
        </w:rPr>
        <w:t xml:space="preserve"> virus’</w:t>
      </w:r>
      <w:r w:rsidR="00050286" w:rsidRPr="005A1EB7">
        <w:rPr>
          <w:rFonts w:ascii="Century Gothic" w:hAnsi="Century Gothic"/>
          <w:color w:val="auto"/>
          <w:sz w:val="22"/>
          <w:szCs w:val="22"/>
        </w:rPr>
        <w:t xml:space="preserve"> spread, they also impacted businesses and employment.  </w:t>
      </w:r>
      <w:r w:rsidR="00FC4767" w:rsidRPr="005A1EB7">
        <w:rPr>
          <w:rFonts w:ascii="Century Gothic" w:hAnsi="Century Gothic" w:cs="Arial"/>
          <w:color w:val="auto"/>
          <w:sz w:val="22"/>
          <w:szCs w:val="22"/>
          <w:shd w:val="clear" w:color="auto" w:fill="FFFFFF"/>
        </w:rPr>
        <w:t>Given the prevalence of tourism in</w:t>
      </w:r>
      <w:r w:rsidR="00050286" w:rsidRPr="005A1EB7">
        <w:rPr>
          <w:rFonts w:ascii="Century Gothic" w:hAnsi="Century Gothic" w:cs="Arial"/>
          <w:color w:val="auto"/>
          <w:sz w:val="22"/>
          <w:szCs w:val="22"/>
          <w:shd w:val="clear" w:color="auto" w:fill="FFFFFF"/>
        </w:rPr>
        <w:t> </w:t>
      </w:r>
      <w:r w:rsidR="005A1EB7">
        <w:rPr>
          <w:rFonts w:ascii="Century Gothic" w:hAnsi="Century Gothic"/>
          <w:color w:val="auto"/>
          <w:sz w:val="22"/>
          <w:szCs w:val="22"/>
        </w:rPr>
        <w:t xml:space="preserve">the </w:t>
      </w:r>
      <w:r w:rsidR="00281E5E" w:rsidRPr="005A1EB7">
        <w:rPr>
          <w:rFonts w:ascii="Century Gothic" w:hAnsi="Century Gothic"/>
          <w:color w:val="auto"/>
          <w:sz w:val="22"/>
          <w:szCs w:val="22"/>
        </w:rPr>
        <w:t>Ni</w:t>
      </w:r>
      <w:bookmarkStart w:id="0" w:name="_GoBack"/>
      <w:bookmarkEnd w:id="0"/>
      <w:r w:rsidR="00281E5E" w:rsidRPr="005A1EB7">
        <w:rPr>
          <w:rFonts w:ascii="Century Gothic" w:hAnsi="Century Gothic"/>
          <w:color w:val="auto"/>
          <w:sz w:val="22"/>
          <w:szCs w:val="22"/>
        </w:rPr>
        <w:t>agara region</w:t>
      </w:r>
      <w:r w:rsidR="00FC4767" w:rsidRPr="005A1EB7">
        <w:rPr>
          <w:rFonts w:ascii="Century Gothic" w:hAnsi="Century Gothic"/>
          <w:color w:val="auto"/>
          <w:sz w:val="22"/>
          <w:szCs w:val="22"/>
        </w:rPr>
        <w:t>,</w:t>
      </w:r>
      <w:r w:rsidR="00281E5E" w:rsidRPr="005A1EB7">
        <w:rPr>
          <w:rFonts w:ascii="Century Gothic" w:hAnsi="Century Gothic"/>
          <w:color w:val="auto"/>
          <w:sz w:val="22"/>
          <w:szCs w:val="22"/>
        </w:rPr>
        <w:t xml:space="preserve"> stay-at-home </w:t>
      </w:r>
      <w:r w:rsidR="00B57FBA" w:rsidRPr="005A1EB7">
        <w:rPr>
          <w:rFonts w:ascii="Century Gothic" w:hAnsi="Century Gothic"/>
          <w:color w:val="auto"/>
          <w:sz w:val="22"/>
          <w:szCs w:val="22"/>
        </w:rPr>
        <w:t>orders</w:t>
      </w:r>
      <w:r w:rsidR="00281E5E" w:rsidRPr="005A1EB7">
        <w:rPr>
          <w:rFonts w:ascii="Century Gothic" w:hAnsi="Century Gothic"/>
          <w:color w:val="auto"/>
          <w:sz w:val="22"/>
          <w:szCs w:val="22"/>
        </w:rPr>
        <w:t xml:space="preserve"> and border closures have </w:t>
      </w:r>
      <w:r w:rsidR="00182CC6" w:rsidRPr="005A1EB7">
        <w:rPr>
          <w:rFonts w:ascii="Century Gothic" w:hAnsi="Century Gothic"/>
          <w:color w:val="auto"/>
          <w:sz w:val="22"/>
          <w:szCs w:val="22"/>
        </w:rPr>
        <w:t xml:space="preserve">had </w:t>
      </w:r>
      <w:r w:rsidR="008B189C">
        <w:rPr>
          <w:rFonts w:ascii="Century Gothic" w:hAnsi="Century Gothic"/>
          <w:color w:val="auto"/>
          <w:sz w:val="22"/>
          <w:szCs w:val="22"/>
        </w:rPr>
        <w:t>a</w:t>
      </w:r>
      <w:r>
        <w:rPr>
          <w:rFonts w:ascii="Century Gothic" w:hAnsi="Century Gothic"/>
          <w:color w:val="auto"/>
          <w:sz w:val="22"/>
          <w:szCs w:val="22"/>
        </w:rPr>
        <w:t xml:space="preserve"> significant</w:t>
      </w:r>
      <w:r w:rsidR="00182CC6" w:rsidRPr="005A1EB7">
        <w:rPr>
          <w:rFonts w:ascii="Century Gothic" w:hAnsi="Century Gothic"/>
          <w:color w:val="auto"/>
          <w:sz w:val="22"/>
          <w:szCs w:val="22"/>
        </w:rPr>
        <w:t xml:space="preserve"> impact</w:t>
      </w:r>
      <w:r w:rsidR="00050286" w:rsidRPr="005A1EB7">
        <w:rPr>
          <w:rFonts w:ascii="Century Gothic" w:hAnsi="Century Gothic"/>
          <w:color w:val="auto"/>
          <w:sz w:val="22"/>
          <w:szCs w:val="22"/>
        </w:rPr>
        <w:t xml:space="preserve"> on </w:t>
      </w:r>
      <w:r w:rsidR="005A1EB7">
        <w:rPr>
          <w:rFonts w:ascii="Century Gothic" w:hAnsi="Century Gothic"/>
          <w:color w:val="auto"/>
          <w:sz w:val="22"/>
          <w:szCs w:val="22"/>
        </w:rPr>
        <w:t xml:space="preserve">the </w:t>
      </w:r>
      <w:r w:rsidR="00FC4767" w:rsidRPr="005A1EB7">
        <w:rPr>
          <w:rFonts w:ascii="Century Gothic" w:hAnsi="Century Gothic"/>
          <w:color w:val="auto"/>
          <w:sz w:val="22"/>
          <w:szCs w:val="22"/>
        </w:rPr>
        <w:t>local</w:t>
      </w:r>
      <w:r w:rsidR="00050286" w:rsidRPr="005A1EB7">
        <w:rPr>
          <w:rFonts w:ascii="Century Gothic" w:hAnsi="Century Gothic"/>
          <w:color w:val="auto"/>
          <w:sz w:val="22"/>
          <w:szCs w:val="22"/>
        </w:rPr>
        <w:t xml:space="preserve"> </w:t>
      </w:r>
      <w:r w:rsidR="005A1EB7">
        <w:rPr>
          <w:rFonts w:ascii="Century Gothic" w:hAnsi="Century Gothic"/>
          <w:color w:val="auto"/>
          <w:sz w:val="22"/>
          <w:szCs w:val="22"/>
        </w:rPr>
        <w:t>economy</w:t>
      </w:r>
      <w:r w:rsidR="00281E5E" w:rsidRPr="005A1EB7">
        <w:rPr>
          <w:rFonts w:ascii="Century Gothic" w:hAnsi="Century Gothic"/>
          <w:color w:val="auto"/>
          <w:sz w:val="22"/>
          <w:szCs w:val="22"/>
        </w:rPr>
        <w:t>.</w:t>
      </w:r>
      <w:r w:rsidR="00281E5E" w:rsidRPr="00056810">
        <w:rPr>
          <w:rFonts w:ascii="Century Gothic" w:hAnsi="Century Gothic"/>
          <w:sz w:val="22"/>
          <w:szCs w:val="22"/>
        </w:rPr>
        <w:t xml:space="preserve"> </w:t>
      </w:r>
    </w:p>
    <w:p w14:paraId="59797A0C" w14:textId="77777777" w:rsidR="003E4431" w:rsidRPr="00056810" w:rsidRDefault="003E4431" w:rsidP="00281E5E">
      <w:pPr>
        <w:pStyle w:val="Default"/>
        <w:rPr>
          <w:rFonts w:ascii="Century Gothic" w:hAnsi="Century Gothic"/>
          <w:sz w:val="22"/>
          <w:szCs w:val="22"/>
        </w:rPr>
      </w:pPr>
    </w:p>
    <w:p w14:paraId="244C0ADC" w14:textId="77777777" w:rsidR="003E4431" w:rsidRPr="00056810" w:rsidRDefault="003E4431" w:rsidP="003E4431">
      <w:pPr>
        <w:pStyle w:val="Heading2"/>
        <w:rPr>
          <w:rFonts w:ascii="Century Gothic" w:hAnsi="Century Gothic"/>
          <w:sz w:val="24"/>
        </w:rPr>
      </w:pPr>
      <w:r w:rsidRPr="00056810">
        <w:rPr>
          <w:rFonts w:ascii="Century Gothic" w:hAnsi="Century Gothic"/>
          <w:sz w:val="24"/>
        </w:rPr>
        <w:t>Tourism and Retail Trade</w:t>
      </w:r>
    </w:p>
    <w:p w14:paraId="14494E00" w14:textId="46012D66" w:rsidR="00E87DAA" w:rsidRPr="00056810" w:rsidRDefault="002328E6" w:rsidP="00281E5E">
      <w:pPr>
        <w:pStyle w:val="Default"/>
        <w:rPr>
          <w:rFonts w:ascii="Century Gothic" w:hAnsi="Century Gothic"/>
          <w:sz w:val="22"/>
          <w:szCs w:val="22"/>
        </w:rPr>
      </w:pPr>
      <w:r w:rsidRPr="00056810">
        <w:rPr>
          <w:rFonts w:ascii="Century Gothic" w:hAnsi="Century Gothic"/>
          <w:sz w:val="22"/>
          <w:szCs w:val="22"/>
        </w:rPr>
        <w:t xml:space="preserve">A </w:t>
      </w:r>
      <w:r w:rsidR="00C52BB7" w:rsidRPr="00056810">
        <w:rPr>
          <w:rFonts w:ascii="Century Gothic" w:hAnsi="Century Gothic"/>
          <w:sz w:val="22"/>
          <w:szCs w:val="22"/>
        </w:rPr>
        <w:t xml:space="preserve">2018 report on Niagara’s Tourism Profile found that 2.4% of visitors to the region (316,000 visitors) travelled </w:t>
      </w:r>
      <w:r w:rsidR="00C52BB7" w:rsidRPr="71FE9B99">
        <w:rPr>
          <w:rFonts w:ascii="Century Gothic" w:hAnsi="Century Gothic"/>
          <w:i/>
          <w:iCs/>
          <w:sz w:val="22"/>
          <w:szCs w:val="22"/>
        </w:rPr>
        <w:t>specifically</w:t>
      </w:r>
      <w:r w:rsidR="00C52BB7" w:rsidRPr="00056810">
        <w:rPr>
          <w:rFonts w:ascii="Century Gothic" w:hAnsi="Century Gothic"/>
          <w:sz w:val="22"/>
          <w:szCs w:val="22"/>
        </w:rPr>
        <w:t xml:space="preserve"> for shopping.</w:t>
      </w:r>
      <w:r w:rsidR="00C52BB7" w:rsidRPr="00056810">
        <w:rPr>
          <w:rStyle w:val="FootnoteReference"/>
          <w:rFonts w:ascii="Century Gothic" w:hAnsi="Century Gothic"/>
          <w:sz w:val="22"/>
          <w:szCs w:val="22"/>
        </w:rPr>
        <w:footnoteReference w:id="1"/>
      </w:r>
      <w:r w:rsidR="00C52BB7" w:rsidRPr="00056810">
        <w:rPr>
          <w:rFonts w:ascii="Century Gothic" w:hAnsi="Century Gothic"/>
          <w:sz w:val="22"/>
          <w:szCs w:val="22"/>
        </w:rPr>
        <w:t xml:space="preserve"> </w:t>
      </w:r>
      <w:r w:rsidR="00E87DAA" w:rsidRPr="00056810">
        <w:rPr>
          <w:rFonts w:ascii="Century Gothic" w:hAnsi="Century Gothic"/>
          <w:sz w:val="22"/>
          <w:szCs w:val="22"/>
        </w:rPr>
        <w:t>T</w:t>
      </w:r>
      <w:r w:rsidR="00C52BB7" w:rsidRPr="00056810">
        <w:rPr>
          <w:rFonts w:ascii="Century Gothic" w:hAnsi="Century Gothic"/>
          <w:sz w:val="22"/>
          <w:szCs w:val="22"/>
        </w:rPr>
        <w:t>hose who did not travel specifically to shop still spent significant amounts of money within the retail trade sector</w:t>
      </w:r>
      <w:r w:rsidR="0045748C" w:rsidRPr="00056810">
        <w:rPr>
          <w:rFonts w:ascii="Century Gothic" w:hAnsi="Century Gothic"/>
          <w:sz w:val="22"/>
          <w:szCs w:val="22"/>
        </w:rPr>
        <w:t>. Specifically, 3</w:t>
      </w:r>
      <w:r w:rsidR="000831C6">
        <w:rPr>
          <w:rFonts w:ascii="Century Gothic" w:hAnsi="Century Gothic"/>
          <w:sz w:val="22"/>
          <w:szCs w:val="22"/>
        </w:rPr>
        <w:t>8.8</w:t>
      </w:r>
      <w:r w:rsidR="0045748C" w:rsidRPr="00056810">
        <w:rPr>
          <w:rFonts w:ascii="Century Gothic" w:hAnsi="Century Gothic"/>
          <w:sz w:val="22"/>
          <w:szCs w:val="22"/>
        </w:rPr>
        <w:t xml:space="preserve">% </w:t>
      </w:r>
      <w:r w:rsidR="00C52BB7" w:rsidRPr="00056810">
        <w:rPr>
          <w:rFonts w:ascii="Century Gothic" w:hAnsi="Century Gothic"/>
          <w:sz w:val="22"/>
          <w:szCs w:val="22"/>
        </w:rPr>
        <w:t>of visitor expenses</w:t>
      </w:r>
      <w:r w:rsidR="00E87DAA" w:rsidRPr="00056810">
        <w:rPr>
          <w:rFonts w:ascii="Century Gothic" w:hAnsi="Century Gothic"/>
          <w:sz w:val="22"/>
          <w:szCs w:val="22"/>
        </w:rPr>
        <w:t xml:space="preserve"> from Canadian tourists</w:t>
      </w:r>
      <w:r w:rsidR="00E87DAA" w:rsidRPr="00056810">
        <w:rPr>
          <w:rStyle w:val="FootnoteReference"/>
          <w:rFonts w:ascii="Century Gothic" w:hAnsi="Century Gothic"/>
          <w:sz w:val="22"/>
          <w:szCs w:val="22"/>
        </w:rPr>
        <w:footnoteReference w:id="2"/>
      </w:r>
      <w:r w:rsidR="00C52BB7" w:rsidRPr="00056810">
        <w:rPr>
          <w:rFonts w:ascii="Century Gothic" w:hAnsi="Century Gothic"/>
          <w:sz w:val="22"/>
          <w:szCs w:val="22"/>
        </w:rPr>
        <w:t xml:space="preserve"> </w:t>
      </w:r>
      <w:r w:rsidR="3B1E09D4" w:rsidRPr="00056810">
        <w:rPr>
          <w:rFonts w:ascii="Century Gothic" w:hAnsi="Century Gothic"/>
          <w:sz w:val="22"/>
          <w:szCs w:val="22"/>
        </w:rPr>
        <w:t>travelling to</w:t>
      </w:r>
      <w:r w:rsidR="00C52BB7" w:rsidRPr="00056810">
        <w:rPr>
          <w:rFonts w:ascii="Century Gothic" w:hAnsi="Century Gothic"/>
          <w:sz w:val="22"/>
          <w:szCs w:val="22"/>
        </w:rPr>
        <w:t xml:space="preserve"> </w:t>
      </w:r>
      <w:r w:rsidR="00E87DAA" w:rsidRPr="00056810">
        <w:rPr>
          <w:rFonts w:ascii="Century Gothic" w:hAnsi="Century Gothic"/>
          <w:sz w:val="22"/>
          <w:szCs w:val="22"/>
        </w:rPr>
        <w:t>Niagara</w:t>
      </w:r>
      <w:r w:rsidR="00C52BB7" w:rsidRPr="00056810">
        <w:rPr>
          <w:rFonts w:ascii="Century Gothic" w:hAnsi="Century Gothic"/>
          <w:sz w:val="22"/>
          <w:szCs w:val="22"/>
        </w:rPr>
        <w:t xml:space="preserve"> were spent on </w:t>
      </w:r>
      <w:r w:rsidR="0045748C" w:rsidRPr="71FE9B99">
        <w:rPr>
          <w:rFonts w:ascii="Century Gothic" w:hAnsi="Century Gothic"/>
          <w:i/>
          <w:iCs/>
          <w:sz w:val="22"/>
          <w:szCs w:val="22"/>
        </w:rPr>
        <w:t xml:space="preserve">food and beverage </w:t>
      </w:r>
      <w:r w:rsidR="0045748C" w:rsidRPr="00056810">
        <w:rPr>
          <w:rFonts w:ascii="Century Gothic" w:hAnsi="Century Gothic"/>
          <w:sz w:val="22"/>
          <w:szCs w:val="22"/>
        </w:rPr>
        <w:t xml:space="preserve">expenses and </w:t>
      </w:r>
      <w:r w:rsidR="000831C6">
        <w:rPr>
          <w:rFonts w:ascii="Century Gothic" w:hAnsi="Century Gothic"/>
          <w:sz w:val="22"/>
          <w:szCs w:val="22"/>
        </w:rPr>
        <w:t>11.2</w:t>
      </w:r>
      <w:r w:rsidR="0045748C" w:rsidRPr="00056810">
        <w:rPr>
          <w:rFonts w:ascii="Century Gothic" w:hAnsi="Century Gothic"/>
          <w:sz w:val="22"/>
          <w:szCs w:val="22"/>
        </w:rPr>
        <w:t xml:space="preserve">% were spent on </w:t>
      </w:r>
      <w:r w:rsidR="00C52BB7" w:rsidRPr="71FE9B99">
        <w:rPr>
          <w:rFonts w:ascii="Century Gothic" w:hAnsi="Century Gothic"/>
          <w:i/>
          <w:iCs/>
          <w:sz w:val="22"/>
          <w:szCs w:val="22"/>
        </w:rPr>
        <w:t xml:space="preserve">clothing and other </w:t>
      </w:r>
      <w:r w:rsidR="00C52BB7" w:rsidRPr="00056810">
        <w:rPr>
          <w:rFonts w:ascii="Century Gothic" w:hAnsi="Century Gothic"/>
          <w:sz w:val="22"/>
          <w:szCs w:val="22"/>
        </w:rPr>
        <w:t>expenses.</w:t>
      </w:r>
      <w:r w:rsidR="00C52BB7" w:rsidRPr="00056810">
        <w:rPr>
          <w:rStyle w:val="FootnoteReference"/>
          <w:rFonts w:ascii="Century Gothic" w:hAnsi="Century Gothic"/>
          <w:sz w:val="22"/>
          <w:szCs w:val="22"/>
        </w:rPr>
        <w:footnoteReference w:id="3"/>
      </w:r>
      <w:r w:rsidRPr="00056810">
        <w:rPr>
          <w:rFonts w:ascii="Century Gothic" w:hAnsi="Century Gothic"/>
          <w:sz w:val="22"/>
          <w:szCs w:val="22"/>
        </w:rPr>
        <w:t xml:space="preserve"> </w:t>
      </w:r>
      <w:r w:rsidR="00E87DAA" w:rsidRPr="00056810">
        <w:rPr>
          <w:rFonts w:ascii="Century Gothic" w:hAnsi="Century Gothic"/>
          <w:sz w:val="22"/>
          <w:szCs w:val="22"/>
        </w:rPr>
        <w:t xml:space="preserve">Complete data </w:t>
      </w:r>
      <w:r w:rsidR="00007881">
        <w:rPr>
          <w:rFonts w:ascii="Century Gothic" w:hAnsi="Century Gothic"/>
          <w:sz w:val="22"/>
          <w:szCs w:val="22"/>
        </w:rPr>
        <w:t>on</w:t>
      </w:r>
      <w:r w:rsidR="003E4431" w:rsidRPr="00056810">
        <w:rPr>
          <w:rFonts w:ascii="Century Gothic" w:hAnsi="Century Gothic"/>
          <w:sz w:val="22"/>
          <w:szCs w:val="22"/>
        </w:rPr>
        <w:t xml:space="preserve"> </w:t>
      </w:r>
      <w:r w:rsidR="003E4431" w:rsidRPr="00007881">
        <w:rPr>
          <w:rFonts w:ascii="Century Gothic" w:hAnsi="Century Gothic"/>
          <w:i/>
          <w:sz w:val="22"/>
          <w:szCs w:val="22"/>
        </w:rPr>
        <w:t>money spent</w:t>
      </w:r>
      <w:r w:rsidR="003E4431" w:rsidRPr="00056810">
        <w:rPr>
          <w:rFonts w:ascii="Century Gothic" w:hAnsi="Century Gothic"/>
          <w:sz w:val="22"/>
          <w:szCs w:val="22"/>
        </w:rPr>
        <w:t xml:space="preserve"> by </w:t>
      </w:r>
      <w:r w:rsidR="003E4431" w:rsidRPr="00007881">
        <w:rPr>
          <w:rFonts w:ascii="Century Gothic" w:hAnsi="Century Gothic"/>
          <w:i/>
          <w:sz w:val="22"/>
          <w:szCs w:val="22"/>
        </w:rPr>
        <w:t>tourism activity</w:t>
      </w:r>
      <w:r w:rsidR="003E4431" w:rsidRPr="00056810">
        <w:rPr>
          <w:rFonts w:ascii="Century Gothic" w:hAnsi="Century Gothic"/>
          <w:sz w:val="22"/>
          <w:szCs w:val="22"/>
        </w:rPr>
        <w:t xml:space="preserve"> are presented in Table 1. </w:t>
      </w:r>
    </w:p>
    <w:p w14:paraId="5B4212B1" w14:textId="77777777" w:rsidR="003E4431" w:rsidRPr="00056810" w:rsidRDefault="003E4431" w:rsidP="00281E5E">
      <w:pPr>
        <w:pStyle w:val="Default"/>
        <w:rPr>
          <w:rFonts w:ascii="Century Gothic" w:hAnsi="Century Gothic"/>
          <w:sz w:val="22"/>
          <w:szCs w:val="22"/>
        </w:rPr>
      </w:pPr>
      <w:r w:rsidRPr="00056810">
        <w:rPr>
          <w:rFonts w:ascii="Century Gothic" w:hAnsi="Century Gothic"/>
          <w:sz w:val="22"/>
          <w:szCs w:val="22"/>
        </w:rPr>
        <w:t xml:space="preserve"> </w:t>
      </w:r>
    </w:p>
    <w:p w14:paraId="10D3EF17" w14:textId="2F4E32E3" w:rsidR="003E4431" w:rsidRPr="00056810" w:rsidRDefault="00E87DAA" w:rsidP="00E87DAA">
      <w:pPr>
        <w:spacing w:line="257" w:lineRule="auto"/>
        <w:contextualSpacing/>
        <w:rPr>
          <w:color w:val="0070C0"/>
          <w:sz w:val="22"/>
        </w:rPr>
      </w:pPr>
      <w:r w:rsidRPr="00056810">
        <w:rPr>
          <w:color w:val="0070C0"/>
          <w:sz w:val="22"/>
        </w:rPr>
        <w:t xml:space="preserve">Table 1. </w:t>
      </w:r>
      <w:r w:rsidR="0039160D">
        <w:rPr>
          <w:color w:val="0070C0"/>
          <w:sz w:val="22"/>
        </w:rPr>
        <w:t>Money spent</w:t>
      </w:r>
      <w:r w:rsidRPr="00056810">
        <w:rPr>
          <w:color w:val="0070C0"/>
          <w:sz w:val="22"/>
        </w:rPr>
        <w:t xml:space="preserve"> by expenditure type, Canadian visitors to Niagara, 2017</w:t>
      </w:r>
    </w:p>
    <w:tbl>
      <w:tblPr>
        <w:tblW w:w="6742" w:type="dxa"/>
        <w:tblInd w:w="-10" w:type="dxa"/>
        <w:tblLook w:val="04A0" w:firstRow="1" w:lastRow="0" w:firstColumn="1" w:lastColumn="0" w:noHBand="0" w:noVBand="1"/>
      </w:tblPr>
      <w:tblGrid>
        <w:gridCol w:w="3607"/>
        <w:gridCol w:w="1879"/>
        <w:gridCol w:w="1256"/>
      </w:tblGrid>
      <w:tr w:rsidR="00E87DAA" w:rsidRPr="00E87DAA" w14:paraId="0C827872" w14:textId="77777777" w:rsidTr="00A93DC7">
        <w:trPr>
          <w:trHeight w:val="183"/>
        </w:trPr>
        <w:tc>
          <w:tcPr>
            <w:tcW w:w="3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2D87F037" w14:textId="77777777" w:rsidR="00E87DAA" w:rsidRPr="00E87DAA" w:rsidRDefault="00E87DAA" w:rsidP="00E87DA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E87D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  <w:t>Expenditure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531743EC" w14:textId="77777777" w:rsidR="00E87DAA" w:rsidRPr="00E87DAA" w:rsidRDefault="00E87DAA" w:rsidP="00E87D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E87D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3E959BB0" w14:textId="77777777" w:rsidR="00E87DAA" w:rsidRPr="00E87DAA" w:rsidRDefault="00E87DAA" w:rsidP="00E87D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E87D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n-US"/>
              </w:rPr>
              <w:t>% of Total</w:t>
            </w:r>
          </w:p>
        </w:tc>
      </w:tr>
      <w:tr w:rsidR="002A09FB" w:rsidRPr="00E87DAA" w14:paraId="5B56A3B8" w14:textId="77777777" w:rsidTr="00AD30F0">
        <w:trPr>
          <w:trHeight w:val="183"/>
        </w:trPr>
        <w:tc>
          <w:tcPr>
            <w:tcW w:w="3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36829" w14:textId="186735C3" w:rsidR="002A09FB" w:rsidRPr="00E87DAA" w:rsidRDefault="002A09FB" w:rsidP="002020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87D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Food </w:t>
            </w:r>
            <w:r w:rsidR="0020201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&amp;</w:t>
            </w:r>
            <w:r w:rsidRPr="00E87D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beverage</w:t>
            </w:r>
            <w:r w:rsidR="00134383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FAFF5" w14:textId="7A851D6E" w:rsidR="002A09FB" w:rsidRPr="002A09FB" w:rsidRDefault="002A09FB" w:rsidP="002A09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9FB">
              <w:rPr>
                <w:rFonts w:cs="Calibri"/>
                <w:color w:val="000000"/>
                <w:sz w:val="22"/>
              </w:rPr>
              <w:t>$596,005,000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E1348" w14:textId="68CE9279" w:rsidR="002A09FB" w:rsidRPr="002A09FB" w:rsidRDefault="002A09FB" w:rsidP="002A09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9FB">
              <w:rPr>
                <w:rFonts w:cs="Calibri"/>
                <w:color w:val="000000"/>
                <w:sz w:val="22"/>
              </w:rPr>
              <w:t>38.8%</w:t>
            </w:r>
          </w:p>
        </w:tc>
      </w:tr>
      <w:tr w:rsidR="002A09FB" w:rsidRPr="00E87DAA" w14:paraId="569E01A6" w14:textId="77777777" w:rsidTr="00AD30F0">
        <w:trPr>
          <w:trHeight w:val="183"/>
        </w:trPr>
        <w:tc>
          <w:tcPr>
            <w:tcW w:w="3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3BFA2" w14:textId="65F2E69D" w:rsidR="002A09FB" w:rsidRPr="00E87DAA" w:rsidRDefault="002A09FB" w:rsidP="002A09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87D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Accommodation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B7202" w14:textId="6F9F9F47" w:rsidR="002A09FB" w:rsidRPr="002A09FB" w:rsidRDefault="002A09FB" w:rsidP="002A09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9FB">
              <w:rPr>
                <w:rFonts w:cs="Calibri"/>
                <w:color w:val="000000"/>
                <w:sz w:val="22"/>
              </w:rPr>
              <w:t>$367,762,000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18D7F" w14:textId="4D99FBE1" w:rsidR="002A09FB" w:rsidRPr="002A09FB" w:rsidRDefault="002A09FB" w:rsidP="002A09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9FB">
              <w:rPr>
                <w:rFonts w:cs="Calibri"/>
                <w:color w:val="000000"/>
                <w:sz w:val="22"/>
              </w:rPr>
              <w:t>24.0%</w:t>
            </w:r>
          </w:p>
        </w:tc>
      </w:tr>
      <w:tr w:rsidR="002A09FB" w:rsidRPr="00E87DAA" w14:paraId="310915ED" w14:textId="77777777" w:rsidTr="00AD30F0">
        <w:trPr>
          <w:trHeight w:val="183"/>
        </w:trPr>
        <w:tc>
          <w:tcPr>
            <w:tcW w:w="3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2636" w14:textId="77777777" w:rsidR="002A09FB" w:rsidRPr="00E87DAA" w:rsidRDefault="002A09FB" w:rsidP="002A09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87D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Transportation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08BFA" w14:textId="109E4E63" w:rsidR="002A09FB" w:rsidRPr="002A09FB" w:rsidRDefault="002A09FB" w:rsidP="002A09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9FB">
              <w:rPr>
                <w:rFonts w:cs="Calibri"/>
                <w:color w:val="000000"/>
                <w:sz w:val="22"/>
              </w:rPr>
              <w:t>$215,113,000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6F606" w14:textId="443091CD" w:rsidR="002A09FB" w:rsidRPr="002A09FB" w:rsidRDefault="002A09FB" w:rsidP="002A09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9FB">
              <w:rPr>
                <w:rFonts w:cs="Calibri"/>
                <w:color w:val="000000"/>
                <w:sz w:val="22"/>
              </w:rPr>
              <w:t>14.0%</w:t>
            </w:r>
          </w:p>
        </w:tc>
      </w:tr>
      <w:tr w:rsidR="002A09FB" w:rsidRPr="00E87DAA" w14:paraId="431EF7EE" w14:textId="77777777" w:rsidTr="00AD30F0">
        <w:trPr>
          <w:trHeight w:val="183"/>
        </w:trPr>
        <w:tc>
          <w:tcPr>
            <w:tcW w:w="3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B0575" w14:textId="191AC760" w:rsidR="002A09FB" w:rsidRPr="00E87DAA" w:rsidRDefault="002A09FB" w:rsidP="002020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87D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Recreation </w:t>
            </w:r>
            <w:r w:rsidR="0020201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&amp;</w:t>
            </w:r>
            <w:r w:rsidRPr="00E87D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entertainment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D239D" w14:textId="29A054DA" w:rsidR="002A09FB" w:rsidRPr="002A09FB" w:rsidRDefault="002A09FB" w:rsidP="002A09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9FB">
              <w:rPr>
                <w:rFonts w:cs="Calibri"/>
                <w:color w:val="000000"/>
                <w:sz w:val="22"/>
              </w:rPr>
              <w:t>$183,902,000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BE3CE" w14:textId="072C21B4" w:rsidR="002A09FB" w:rsidRPr="002A09FB" w:rsidRDefault="002A09FB" w:rsidP="002A09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9FB">
              <w:rPr>
                <w:rFonts w:cs="Calibri"/>
                <w:color w:val="000000"/>
                <w:sz w:val="22"/>
              </w:rPr>
              <w:t>12.0%</w:t>
            </w:r>
          </w:p>
        </w:tc>
      </w:tr>
      <w:tr w:rsidR="002A09FB" w:rsidRPr="00E87DAA" w14:paraId="21BC34AD" w14:textId="77777777" w:rsidTr="00AD30F0">
        <w:trPr>
          <w:trHeight w:val="183"/>
        </w:trPr>
        <w:tc>
          <w:tcPr>
            <w:tcW w:w="3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A31BE" w14:textId="6F76B0B9" w:rsidR="002A09FB" w:rsidRPr="00E87DAA" w:rsidRDefault="002A09FB" w:rsidP="002020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87D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Clothing </w:t>
            </w:r>
            <w:r w:rsidR="0020201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&amp;</w:t>
            </w:r>
            <w:r w:rsidRPr="00E87D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other</w:t>
            </w:r>
            <w:r w:rsidR="00D90DF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expenses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30185" w14:textId="7321E81F" w:rsidR="002A09FB" w:rsidRPr="002A09FB" w:rsidRDefault="002A09FB" w:rsidP="002A09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2A09FB">
              <w:rPr>
                <w:rFonts w:cs="Calibri"/>
                <w:color w:val="000000"/>
                <w:sz w:val="22"/>
              </w:rPr>
              <w:t>$171,955,000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E0755" w14:textId="2F39D14F" w:rsidR="002A09FB" w:rsidRPr="000E2DE3" w:rsidRDefault="002A09FB" w:rsidP="002A09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0E2DE3">
              <w:rPr>
                <w:rFonts w:cs="Calibri"/>
                <w:color w:val="000000"/>
                <w:sz w:val="22"/>
              </w:rPr>
              <w:t>11.2%</w:t>
            </w:r>
          </w:p>
        </w:tc>
      </w:tr>
      <w:tr w:rsidR="002A09FB" w:rsidRPr="00E87DAA" w14:paraId="3C71B659" w14:textId="77777777" w:rsidTr="00AD30F0">
        <w:trPr>
          <w:trHeight w:val="183"/>
        </w:trPr>
        <w:tc>
          <w:tcPr>
            <w:tcW w:w="3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A0CC" w14:textId="77777777" w:rsidR="002A09FB" w:rsidRPr="00E87DAA" w:rsidRDefault="002A09FB" w:rsidP="002A09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7D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E84AD" w14:textId="264ABBDD" w:rsidR="002A09FB" w:rsidRPr="00775860" w:rsidRDefault="002A09FB" w:rsidP="002A09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5860">
              <w:rPr>
                <w:rFonts w:cs="Calibri"/>
                <w:b/>
                <w:color w:val="000000"/>
                <w:sz w:val="22"/>
              </w:rPr>
              <w:t>$1,534,737,000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4E77F" w14:textId="4B9BBA77" w:rsidR="002A09FB" w:rsidRPr="000E2DE3" w:rsidRDefault="002A09FB" w:rsidP="002A09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0E2DE3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100.0%</w:t>
            </w:r>
          </w:p>
        </w:tc>
      </w:tr>
    </w:tbl>
    <w:p w14:paraId="716D4B8C" w14:textId="1F64E9A1" w:rsidR="003E4431" w:rsidRPr="00BC3C65" w:rsidRDefault="00BC3C65" w:rsidP="00281E5E">
      <w:pPr>
        <w:pStyle w:val="Default"/>
        <w:rPr>
          <w:rFonts w:ascii="Century Gothic" w:hAnsi="Century Gothic"/>
          <w:sz w:val="16"/>
          <w:szCs w:val="16"/>
        </w:rPr>
      </w:pPr>
      <w:r w:rsidRPr="00BC3C65">
        <w:rPr>
          <w:rFonts w:ascii="Century Gothic" w:hAnsi="Century Gothic"/>
          <w:sz w:val="16"/>
          <w:szCs w:val="16"/>
        </w:rPr>
        <w:t>Source: Niagara Tourism Profile. 2018. Niagara Region.</w:t>
      </w:r>
    </w:p>
    <w:p w14:paraId="64123FCC" w14:textId="77777777" w:rsidR="00BC3C65" w:rsidRPr="00056810" w:rsidRDefault="00BC3C65" w:rsidP="00281E5E">
      <w:pPr>
        <w:pStyle w:val="Default"/>
        <w:rPr>
          <w:rFonts w:ascii="Century Gothic" w:hAnsi="Century Gothic"/>
          <w:sz w:val="22"/>
          <w:szCs w:val="22"/>
        </w:rPr>
      </w:pPr>
    </w:p>
    <w:p w14:paraId="08F82430" w14:textId="1F12C6D4" w:rsidR="00C52BB7" w:rsidRPr="00056810" w:rsidRDefault="6342D05D" w:rsidP="00281E5E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056810">
        <w:rPr>
          <w:rFonts w:ascii="Century Gothic" w:hAnsi="Century Gothic"/>
          <w:color w:val="auto"/>
          <w:sz w:val="22"/>
          <w:szCs w:val="22"/>
        </w:rPr>
        <w:t>M</w:t>
      </w:r>
      <w:r w:rsidR="000A08AC">
        <w:rPr>
          <w:rFonts w:ascii="Century Gothic" w:hAnsi="Century Gothic"/>
          <w:color w:val="auto"/>
          <w:sz w:val="22"/>
          <w:szCs w:val="22"/>
        </w:rPr>
        <w:t>unicipalities across Niagara have noted the intersection of retail trade and tourism in their</w:t>
      </w:r>
      <w:r w:rsidR="35BA67CC" w:rsidRPr="71FE9B99">
        <w:rPr>
          <w:rFonts w:ascii="Century Gothic" w:hAnsi="Century Gothic"/>
          <w:color w:val="auto"/>
          <w:sz w:val="22"/>
          <w:szCs w:val="22"/>
        </w:rPr>
        <w:t xml:space="preserve"> local</w:t>
      </w:r>
      <w:r w:rsidR="000A08AC">
        <w:rPr>
          <w:rFonts w:ascii="Century Gothic" w:hAnsi="Century Gothic"/>
          <w:color w:val="auto"/>
          <w:sz w:val="22"/>
          <w:szCs w:val="22"/>
        </w:rPr>
        <w:t xml:space="preserve"> action plans. For example, the</w:t>
      </w:r>
      <w:r w:rsidR="002328E6" w:rsidRPr="00056810">
        <w:rPr>
          <w:rFonts w:ascii="Century Gothic" w:hAnsi="Century Gothic"/>
          <w:color w:val="auto"/>
          <w:sz w:val="22"/>
          <w:szCs w:val="22"/>
        </w:rPr>
        <w:t xml:space="preserve"> Town of Lincoln’s </w:t>
      </w:r>
      <w:r w:rsidR="00C52BB7" w:rsidRPr="00056810">
        <w:rPr>
          <w:rFonts w:ascii="Century Gothic" w:hAnsi="Century Gothic"/>
          <w:color w:val="auto"/>
          <w:sz w:val="22"/>
          <w:szCs w:val="22"/>
        </w:rPr>
        <w:t>Tourism Strategy and Action Plan 2020-2025</w:t>
      </w:r>
      <w:r w:rsidR="002328E6" w:rsidRPr="05279A5A">
        <w:rPr>
          <w:rFonts w:ascii="Century Gothic" w:hAnsi="Century Gothic"/>
          <w:color w:val="auto"/>
          <w:sz w:val="22"/>
          <w:szCs w:val="22"/>
        </w:rPr>
        <w:t xml:space="preserve"> recommended </w:t>
      </w:r>
      <w:r w:rsidR="000A08AC" w:rsidRPr="05279A5A">
        <w:rPr>
          <w:rFonts w:ascii="Century Gothic" w:hAnsi="Century Gothic"/>
          <w:color w:val="auto"/>
          <w:sz w:val="22"/>
          <w:szCs w:val="22"/>
        </w:rPr>
        <w:t>developing</w:t>
      </w:r>
      <w:r w:rsidR="002328E6" w:rsidRPr="05279A5A">
        <w:rPr>
          <w:rFonts w:ascii="Century Gothic" w:hAnsi="Century Gothic"/>
          <w:color w:val="auto"/>
          <w:sz w:val="22"/>
          <w:szCs w:val="22"/>
        </w:rPr>
        <w:t xml:space="preserve"> a tourism friendly downtown through the “concentration of tourism retail.”</w:t>
      </w:r>
      <w:r w:rsidR="002328E6" w:rsidRPr="05279A5A">
        <w:rPr>
          <w:rStyle w:val="FootnoteReference"/>
          <w:rFonts w:ascii="Century Gothic" w:hAnsi="Century Gothic"/>
          <w:color w:val="auto"/>
          <w:sz w:val="22"/>
          <w:szCs w:val="22"/>
        </w:rPr>
        <w:footnoteReference w:id="4"/>
      </w:r>
      <w:r w:rsidR="002328E6" w:rsidRPr="05279A5A">
        <w:rPr>
          <w:rFonts w:ascii="Century Gothic" w:hAnsi="Century Gothic"/>
          <w:color w:val="auto"/>
          <w:sz w:val="22"/>
          <w:szCs w:val="22"/>
        </w:rPr>
        <w:t xml:space="preserve"> Th</w:t>
      </w:r>
      <w:r w:rsidR="000A08AC" w:rsidRPr="05279A5A">
        <w:rPr>
          <w:rFonts w:ascii="Century Gothic" w:hAnsi="Century Gothic"/>
          <w:color w:val="auto"/>
          <w:sz w:val="22"/>
          <w:szCs w:val="22"/>
        </w:rPr>
        <w:t>is was suggested because</w:t>
      </w:r>
      <w:r w:rsidR="002328E6" w:rsidRPr="05279A5A">
        <w:rPr>
          <w:rFonts w:ascii="Century Gothic" w:hAnsi="Century Gothic"/>
          <w:color w:val="auto"/>
          <w:sz w:val="22"/>
          <w:szCs w:val="22"/>
        </w:rPr>
        <w:t xml:space="preserve"> </w:t>
      </w:r>
      <w:r w:rsidR="002328E6" w:rsidRPr="05279A5A">
        <w:rPr>
          <w:rFonts w:ascii="Century Gothic" w:hAnsi="Century Gothic"/>
          <w:sz w:val="22"/>
          <w:szCs w:val="22"/>
        </w:rPr>
        <w:t>“successful small-town destinations provide visitors with…appealing tourist retail and dining [experiences].”</w:t>
      </w:r>
      <w:r w:rsidR="002328E6" w:rsidRPr="05279A5A">
        <w:rPr>
          <w:rStyle w:val="FootnoteReference"/>
          <w:rFonts w:ascii="Century Gothic" w:hAnsi="Century Gothic"/>
          <w:sz w:val="22"/>
          <w:szCs w:val="22"/>
        </w:rPr>
        <w:footnoteReference w:id="5"/>
      </w:r>
      <w:r w:rsidR="002328E6" w:rsidRPr="05279A5A">
        <w:rPr>
          <w:rFonts w:ascii="Century Gothic" w:hAnsi="Century Gothic"/>
          <w:sz w:val="22"/>
          <w:szCs w:val="22"/>
        </w:rPr>
        <w:t xml:space="preserve"> </w:t>
      </w:r>
      <w:r w:rsidR="000A08AC">
        <w:rPr>
          <w:rFonts w:ascii="Century Gothic" w:hAnsi="Century Gothic"/>
          <w:color w:val="auto"/>
          <w:sz w:val="22"/>
          <w:szCs w:val="22"/>
        </w:rPr>
        <w:t>In</w:t>
      </w:r>
      <w:r w:rsidR="00B57FBA">
        <w:rPr>
          <w:rFonts w:ascii="Century Gothic" w:hAnsi="Century Gothic"/>
          <w:color w:val="auto"/>
          <w:sz w:val="22"/>
          <w:szCs w:val="22"/>
        </w:rPr>
        <w:t xml:space="preserve"> Niagara, examples</w:t>
      </w:r>
      <w:r w:rsidR="0045748C" w:rsidRPr="00056810">
        <w:rPr>
          <w:rFonts w:ascii="Century Gothic" w:hAnsi="Century Gothic"/>
          <w:color w:val="auto"/>
          <w:sz w:val="22"/>
          <w:szCs w:val="22"/>
        </w:rPr>
        <w:t xml:space="preserve"> of the intersection between retail trade</w:t>
      </w:r>
      <w:r w:rsidR="00B57FBA">
        <w:rPr>
          <w:rFonts w:ascii="Century Gothic" w:hAnsi="Century Gothic"/>
          <w:color w:val="auto"/>
          <w:sz w:val="22"/>
          <w:szCs w:val="22"/>
        </w:rPr>
        <w:t>, dining,</w:t>
      </w:r>
      <w:r w:rsidR="0045748C" w:rsidRPr="00056810">
        <w:rPr>
          <w:rFonts w:ascii="Century Gothic" w:hAnsi="Century Gothic"/>
          <w:color w:val="auto"/>
          <w:sz w:val="22"/>
          <w:szCs w:val="22"/>
        </w:rPr>
        <w:t xml:space="preserve"> and tourism include specialty food shops, </w:t>
      </w:r>
      <w:r w:rsidR="00B57FBA">
        <w:rPr>
          <w:rFonts w:ascii="Century Gothic" w:hAnsi="Century Gothic"/>
          <w:color w:val="auto"/>
          <w:sz w:val="22"/>
          <w:szCs w:val="22"/>
        </w:rPr>
        <w:t>artisan galleries at wineries</w:t>
      </w:r>
      <w:r w:rsidR="001920D4">
        <w:rPr>
          <w:rFonts w:ascii="Century Gothic" w:hAnsi="Century Gothic"/>
          <w:color w:val="auto"/>
          <w:sz w:val="22"/>
          <w:szCs w:val="22"/>
        </w:rPr>
        <w:t>,</w:t>
      </w:r>
      <w:r w:rsidR="00B57FBA">
        <w:rPr>
          <w:rFonts w:ascii="Century Gothic" w:hAnsi="Century Gothic"/>
          <w:color w:val="auto"/>
          <w:sz w:val="22"/>
          <w:szCs w:val="22"/>
        </w:rPr>
        <w:t xml:space="preserve"> </w:t>
      </w:r>
      <w:r w:rsidR="0045748C" w:rsidRPr="00056810">
        <w:rPr>
          <w:rFonts w:ascii="Century Gothic" w:hAnsi="Century Gothic"/>
          <w:color w:val="auto"/>
          <w:sz w:val="22"/>
          <w:szCs w:val="22"/>
        </w:rPr>
        <w:t xml:space="preserve">and restaurants that </w:t>
      </w:r>
      <w:r w:rsidR="000A08AC">
        <w:rPr>
          <w:rFonts w:ascii="Century Gothic" w:hAnsi="Century Gothic"/>
          <w:color w:val="auto"/>
          <w:sz w:val="22"/>
          <w:szCs w:val="22"/>
        </w:rPr>
        <w:t>include</w:t>
      </w:r>
      <w:r w:rsidR="0045748C" w:rsidRPr="00056810">
        <w:rPr>
          <w:rFonts w:ascii="Century Gothic" w:hAnsi="Century Gothic"/>
          <w:color w:val="auto"/>
          <w:sz w:val="22"/>
          <w:szCs w:val="22"/>
        </w:rPr>
        <w:t xml:space="preserve"> specialty grocery </w:t>
      </w:r>
      <w:r w:rsidR="0045748C" w:rsidRPr="00056810">
        <w:rPr>
          <w:rFonts w:ascii="Century Gothic" w:hAnsi="Century Gothic" w:cs="Century Gothic"/>
          <w:color w:val="auto"/>
          <w:sz w:val="22"/>
          <w:szCs w:val="22"/>
        </w:rPr>
        <w:t>sales</w:t>
      </w:r>
      <w:r w:rsidR="0045748C" w:rsidRPr="00056810">
        <w:rPr>
          <w:rFonts w:ascii="Century Gothic" w:hAnsi="Century Gothic"/>
          <w:color w:val="auto"/>
          <w:sz w:val="22"/>
          <w:szCs w:val="22"/>
        </w:rPr>
        <w:t xml:space="preserve">. </w:t>
      </w:r>
    </w:p>
    <w:p w14:paraId="3290EF53" w14:textId="77777777" w:rsidR="0045748C" w:rsidRPr="00056810" w:rsidRDefault="0045748C" w:rsidP="00281E5E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D3A0B3B" w14:textId="53628CEA" w:rsidR="00281E5E" w:rsidRPr="00056810" w:rsidRDefault="0045748C" w:rsidP="0045748C">
      <w:pPr>
        <w:pStyle w:val="Heading2"/>
        <w:rPr>
          <w:rFonts w:ascii="Century Gothic" w:hAnsi="Century Gothic"/>
          <w:sz w:val="24"/>
        </w:rPr>
      </w:pPr>
      <w:r w:rsidRPr="00056810">
        <w:rPr>
          <w:rFonts w:ascii="Century Gothic" w:hAnsi="Century Gothic"/>
          <w:sz w:val="24"/>
        </w:rPr>
        <w:t>Tourism Jobs</w:t>
      </w:r>
      <w:r w:rsidR="00701CE5">
        <w:rPr>
          <w:rFonts w:ascii="Century Gothic" w:hAnsi="Century Gothic"/>
          <w:sz w:val="24"/>
        </w:rPr>
        <w:t xml:space="preserve"> and Employment</w:t>
      </w:r>
    </w:p>
    <w:p w14:paraId="36CDCC99" w14:textId="09387DDE" w:rsidR="00281E5E" w:rsidRPr="00056810" w:rsidRDefault="00FD6318" w:rsidP="05279A5A">
      <w:pPr>
        <w:rPr>
          <w:sz w:val="22"/>
        </w:rPr>
      </w:pPr>
      <w:r>
        <w:rPr>
          <w:sz w:val="22"/>
        </w:rPr>
        <w:t>Throughout 2019, t</w:t>
      </w:r>
      <w:r w:rsidR="00281E5E" w:rsidRPr="05279A5A">
        <w:rPr>
          <w:sz w:val="22"/>
        </w:rPr>
        <w:t>he tourism sector i</w:t>
      </w:r>
      <w:r w:rsidR="00215698" w:rsidRPr="05279A5A">
        <w:rPr>
          <w:sz w:val="22"/>
        </w:rPr>
        <w:t xml:space="preserve">n Niagara housed an estimated </w:t>
      </w:r>
      <w:r w:rsidR="00D66830">
        <w:rPr>
          <w:sz w:val="22"/>
        </w:rPr>
        <w:t>40,741</w:t>
      </w:r>
      <w:r w:rsidR="00E87DAA" w:rsidRPr="05279A5A">
        <w:rPr>
          <w:sz w:val="22"/>
        </w:rPr>
        <w:t xml:space="preserve"> </w:t>
      </w:r>
      <w:r>
        <w:rPr>
          <w:sz w:val="22"/>
        </w:rPr>
        <w:t xml:space="preserve">full- and part-time </w:t>
      </w:r>
      <w:r w:rsidR="00701CE5" w:rsidRPr="05279A5A">
        <w:rPr>
          <w:sz w:val="22"/>
        </w:rPr>
        <w:t>jobs</w:t>
      </w:r>
      <w:r w:rsidR="009C61A8">
        <w:rPr>
          <w:sz w:val="22"/>
        </w:rPr>
        <w:t xml:space="preserve"> including employees and self-employed individuals</w:t>
      </w:r>
      <w:r w:rsidR="00BE1865" w:rsidRPr="05279A5A">
        <w:rPr>
          <w:sz w:val="22"/>
        </w:rPr>
        <w:t xml:space="preserve"> (see Table 2)</w:t>
      </w:r>
      <w:r w:rsidR="00281E5E" w:rsidRPr="05279A5A">
        <w:rPr>
          <w:sz w:val="22"/>
        </w:rPr>
        <w:t>. These tourism-related jobs represent</w:t>
      </w:r>
      <w:r w:rsidR="06E70D57" w:rsidRPr="05279A5A">
        <w:rPr>
          <w:sz w:val="22"/>
        </w:rPr>
        <w:t>ed</w:t>
      </w:r>
      <w:r w:rsidR="00281E5E" w:rsidRPr="05279A5A">
        <w:rPr>
          <w:sz w:val="22"/>
        </w:rPr>
        <w:t xml:space="preserve"> </w:t>
      </w:r>
      <w:r w:rsidR="005F0238">
        <w:rPr>
          <w:sz w:val="22"/>
        </w:rPr>
        <w:t>approximately</w:t>
      </w:r>
      <w:r w:rsidR="00D66830">
        <w:rPr>
          <w:sz w:val="22"/>
        </w:rPr>
        <w:t xml:space="preserve"> 18.6</w:t>
      </w:r>
      <w:r w:rsidR="00281E5E" w:rsidRPr="05279A5A">
        <w:rPr>
          <w:b/>
          <w:bCs/>
          <w:sz w:val="22"/>
        </w:rPr>
        <w:t xml:space="preserve">% </w:t>
      </w:r>
      <w:r w:rsidR="00281E5E" w:rsidRPr="05279A5A">
        <w:rPr>
          <w:sz w:val="22"/>
        </w:rPr>
        <w:t xml:space="preserve">of </w:t>
      </w:r>
      <w:r w:rsidR="00DE67DE">
        <w:rPr>
          <w:sz w:val="22"/>
        </w:rPr>
        <w:t>all</w:t>
      </w:r>
      <w:r w:rsidR="00281E5E" w:rsidRPr="05279A5A">
        <w:rPr>
          <w:sz w:val="22"/>
        </w:rPr>
        <w:t xml:space="preserve"> jobs in Niagara.</w:t>
      </w:r>
      <w:r w:rsidR="00264380" w:rsidRPr="05279A5A">
        <w:rPr>
          <w:sz w:val="22"/>
        </w:rPr>
        <w:t xml:space="preserve"> </w:t>
      </w:r>
      <w:r w:rsidR="007F7D79">
        <w:rPr>
          <w:sz w:val="22"/>
        </w:rPr>
        <w:t>Comparatively,</w:t>
      </w:r>
      <w:r w:rsidR="00264380" w:rsidRPr="05279A5A">
        <w:rPr>
          <w:sz w:val="22"/>
        </w:rPr>
        <w:t xml:space="preserve"> </w:t>
      </w:r>
      <w:r w:rsidR="007F7D79">
        <w:rPr>
          <w:sz w:val="22"/>
        </w:rPr>
        <w:t xml:space="preserve">the </w:t>
      </w:r>
      <w:r w:rsidR="00264380" w:rsidRPr="05279A5A">
        <w:rPr>
          <w:sz w:val="22"/>
        </w:rPr>
        <w:t>reta</w:t>
      </w:r>
      <w:r w:rsidR="00FC07C9" w:rsidRPr="05279A5A">
        <w:rPr>
          <w:sz w:val="22"/>
        </w:rPr>
        <w:t>il trade</w:t>
      </w:r>
      <w:r w:rsidR="007F7D79">
        <w:rPr>
          <w:sz w:val="22"/>
        </w:rPr>
        <w:t xml:space="preserve"> sector</w:t>
      </w:r>
      <w:r w:rsidR="00FC07C9" w:rsidRPr="05279A5A">
        <w:rPr>
          <w:sz w:val="22"/>
        </w:rPr>
        <w:t xml:space="preserve"> housed approximately 2</w:t>
      </w:r>
      <w:r w:rsidR="007F7D79">
        <w:rPr>
          <w:sz w:val="22"/>
        </w:rPr>
        <w:t>7</w:t>
      </w:r>
      <w:r w:rsidR="00264380" w:rsidRPr="05279A5A">
        <w:rPr>
          <w:sz w:val="22"/>
        </w:rPr>
        <w:t>,</w:t>
      </w:r>
      <w:r w:rsidR="007F7D79">
        <w:rPr>
          <w:sz w:val="22"/>
        </w:rPr>
        <w:t>278</w:t>
      </w:r>
      <w:r w:rsidR="00264380" w:rsidRPr="05279A5A">
        <w:rPr>
          <w:sz w:val="22"/>
        </w:rPr>
        <w:t xml:space="preserve"> </w:t>
      </w:r>
      <w:r w:rsidR="00B13A3B">
        <w:rPr>
          <w:sz w:val="22"/>
        </w:rPr>
        <w:t xml:space="preserve">full- and part-time </w:t>
      </w:r>
      <w:r w:rsidR="00264380" w:rsidRPr="05279A5A">
        <w:rPr>
          <w:sz w:val="22"/>
        </w:rPr>
        <w:t>jobs in 2019</w:t>
      </w:r>
      <w:r w:rsidR="008A5626" w:rsidRPr="05279A5A">
        <w:rPr>
          <w:sz w:val="22"/>
        </w:rPr>
        <w:t xml:space="preserve"> – approximately </w:t>
      </w:r>
      <w:r w:rsidR="00264380" w:rsidRPr="05279A5A">
        <w:rPr>
          <w:sz w:val="22"/>
        </w:rPr>
        <w:t>1</w:t>
      </w:r>
      <w:r w:rsidR="007F7D79">
        <w:rPr>
          <w:sz w:val="22"/>
        </w:rPr>
        <w:t>2</w:t>
      </w:r>
      <w:r w:rsidR="00264380" w:rsidRPr="05279A5A">
        <w:rPr>
          <w:sz w:val="22"/>
        </w:rPr>
        <w:t>.</w:t>
      </w:r>
      <w:r w:rsidR="00FC07C9" w:rsidRPr="05279A5A">
        <w:rPr>
          <w:sz w:val="22"/>
        </w:rPr>
        <w:t>4</w:t>
      </w:r>
      <w:r w:rsidR="00264380" w:rsidRPr="05279A5A">
        <w:rPr>
          <w:sz w:val="22"/>
        </w:rPr>
        <w:t xml:space="preserve">% of </w:t>
      </w:r>
      <w:r w:rsidR="008A5626" w:rsidRPr="05279A5A">
        <w:rPr>
          <w:i/>
          <w:iCs/>
          <w:sz w:val="22"/>
        </w:rPr>
        <w:t>all</w:t>
      </w:r>
      <w:r w:rsidR="00264380" w:rsidRPr="05279A5A">
        <w:rPr>
          <w:i/>
          <w:iCs/>
          <w:sz w:val="22"/>
        </w:rPr>
        <w:t xml:space="preserve"> jobs </w:t>
      </w:r>
      <w:r w:rsidR="00264380" w:rsidRPr="05279A5A">
        <w:rPr>
          <w:sz w:val="22"/>
        </w:rPr>
        <w:t>in Niagara</w:t>
      </w:r>
      <w:r w:rsidR="008C3F2F" w:rsidRPr="05279A5A">
        <w:rPr>
          <w:sz w:val="22"/>
        </w:rPr>
        <w:t xml:space="preserve"> (excluding self-employme</w:t>
      </w:r>
      <w:r w:rsidR="00186ABF" w:rsidRPr="05279A5A">
        <w:rPr>
          <w:sz w:val="22"/>
        </w:rPr>
        <w:t>n</w:t>
      </w:r>
      <w:r w:rsidR="008C3F2F" w:rsidRPr="05279A5A">
        <w:rPr>
          <w:sz w:val="22"/>
        </w:rPr>
        <w:t>t)</w:t>
      </w:r>
      <w:r w:rsidR="00264380" w:rsidRPr="05279A5A">
        <w:rPr>
          <w:sz w:val="22"/>
        </w:rPr>
        <w:t xml:space="preserve">. </w:t>
      </w:r>
    </w:p>
    <w:p w14:paraId="102ECE4B" w14:textId="722FB139" w:rsidR="00281E5E" w:rsidRPr="00056810" w:rsidRDefault="003E4431" w:rsidP="00281E5E">
      <w:pPr>
        <w:spacing w:line="257" w:lineRule="auto"/>
        <w:contextualSpacing/>
        <w:rPr>
          <w:color w:val="0070C0"/>
          <w:sz w:val="22"/>
        </w:rPr>
      </w:pPr>
      <w:r w:rsidRPr="00056810">
        <w:rPr>
          <w:color w:val="0070C0"/>
          <w:sz w:val="22"/>
        </w:rPr>
        <w:t>Table 2</w:t>
      </w:r>
      <w:r w:rsidR="00056810">
        <w:rPr>
          <w:color w:val="0070C0"/>
          <w:sz w:val="22"/>
        </w:rPr>
        <w:t>.</w:t>
      </w:r>
      <w:r w:rsidR="00281E5E" w:rsidRPr="00056810">
        <w:rPr>
          <w:color w:val="0070C0"/>
          <w:sz w:val="22"/>
        </w:rPr>
        <w:t xml:space="preserve"> 2019 </w:t>
      </w:r>
      <w:r w:rsidR="00701CE5">
        <w:rPr>
          <w:color w:val="0070C0"/>
          <w:sz w:val="22"/>
        </w:rPr>
        <w:t>job counts</w:t>
      </w:r>
      <w:r w:rsidR="00701CE5" w:rsidRPr="00056810">
        <w:rPr>
          <w:color w:val="0070C0"/>
          <w:sz w:val="22"/>
        </w:rPr>
        <w:t xml:space="preserve"> </w:t>
      </w:r>
      <w:r w:rsidR="00281E5E" w:rsidRPr="00056810">
        <w:rPr>
          <w:color w:val="0070C0"/>
          <w:sz w:val="22"/>
        </w:rPr>
        <w:t>in Niagara’s tourism sectors</w:t>
      </w:r>
    </w:p>
    <w:tbl>
      <w:tblPr>
        <w:tblW w:w="9175" w:type="dxa"/>
        <w:tblLayout w:type="fixed"/>
        <w:tblLook w:val="04A0" w:firstRow="1" w:lastRow="0" w:firstColumn="1" w:lastColumn="0" w:noHBand="0" w:noVBand="1"/>
      </w:tblPr>
      <w:tblGrid>
        <w:gridCol w:w="3397"/>
        <w:gridCol w:w="2628"/>
        <w:gridCol w:w="3150"/>
      </w:tblGrid>
      <w:tr w:rsidR="00B404EE" w:rsidRPr="00701CE5" w14:paraId="4DB0F9EF" w14:textId="3CF45FE3" w:rsidTr="00B404EE">
        <w:trPr>
          <w:trHeight w:val="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14:paraId="41324A32" w14:textId="15D0C5A5" w:rsidR="00B404EE" w:rsidRPr="00701CE5" w:rsidRDefault="00B404EE" w:rsidP="00701CE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701CE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Tourism Sectors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D5CD700" w14:textId="1C4F354C" w:rsidR="00B404EE" w:rsidRPr="00701CE5" w:rsidRDefault="00B40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2019 Tourism-Related Jobs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60F59D1" w14:textId="43113862" w:rsidR="00B404EE" w:rsidRDefault="00B404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2019 Percentage of tourism-related jobs</w:t>
            </w:r>
          </w:p>
        </w:tc>
      </w:tr>
      <w:tr w:rsidR="00B404EE" w:rsidRPr="00056810" w14:paraId="6841E48F" w14:textId="15F54BF1" w:rsidTr="00B404EE">
        <w:trPr>
          <w:trHeight w:val="2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CB9D" w14:textId="77777777" w:rsidR="00B404EE" w:rsidRPr="00056810" w:rsidRDefault="00B404EE" w:rsidP="00BA0D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5681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Food and Beverage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39A" w14:textId="07243F16" w:rsidR="00B404EE" w:rsidRPr="00056810" w:rsidRDefault="00D668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18,459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C0C" w14:textId="5043439F" w:rsidR="00B404EE" w:rsidRDefault="00D66830" w:rsidP="002156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45.3%</w:t>
            </w:r>
          </w:p>
        </w:tc>
      </w:tr>
      <w:tr w:rsidR="00D66830" w:rsidRPr="00056810" w14:paraId="6D020C54" w14:textId="09F9BDDA" w:rsidTr="00D66830">
        <w:trPr>
          <w:trHeight w:val="15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0FC3" w14:textId="5EF2E0F1" w:rsidR="00D66830" w:rsidRPr="00056810" w:rsidRDefault="00D66830" w:rsidP="00D66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5681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Recreation and Entertainment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39F8" w14:textId="4809CFF9" w:rsidR="00D66830" w:rsidRPr="00056810" w:rsidRDefault="00D66830" w:rsidP="00D668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8,668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007A" w14:textId="1B1637C7" w:rsidR="00D66830" w:rsidRDefault="00D66830" w:rsidP="00D668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21.3%</w:t>
            </w:r>
          </w:p>
        </w:tc>
      </w:tr>
      <w:tr w:rsidR="00D66830" w:rsidRPr="00056810" w14:paraId="073B9B27" w14:textId="6E202F92" w:rsidTr="00B404EE">
        <w:trPr>
          <w:trHeight w:val="2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4893" w14:textId="71313F76" w:rsidR="00D66830" w:rsidRPr="00056810" w:rsidRDefault="00D66830" w:rsidP="00D66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Accommodation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F8B1" w14:textId="339FCC5B" w:rsidR="00D66830" w:rsidRPr="00056810" w:rsidRDefault="00D66830" w:rsidP="00D668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8,559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D96A" w14:textId="383792ED" w:rsidR="00D66830" w:rsidRDefault="00D66830" w:rsidP="00D668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21.0%</w:t>
            </w:r>
          </w:p>
        </w:tc>
      </w:tr>
      <w:tr w:rsidR="00D66830" w:rsidRPr="00056810" w14:paraId="0872DF8D" w14:textId="6B1AAE91" w:rsidTr="00B404EE">
        <w:trPr>
          <w:trHeight w:val="2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D673" w14:textId="5D9AFFFF" w:rsidR="00D66830" w:rsidRPr="00056810" w:rsidRDefault="00D66830" w:rsidP="00D66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5681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Transportation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6C4C" w14:textId="16F8BA9E" w:rsidR="00D66830" w:rsidRPr="00056810" w:rsidRDefault="00D66830" w:rsidP="00D668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2,865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290" w14:textId="6577550E" w:rsidR="00D66830" w:rsidRDefault="00D66830" w:rsidP="00D668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7.0%</w:t>
            </w:r>
          </w:p>
        </w:tc>
      </w:tr>
      <w:tr w:rsidR="00D66830" w:rsidRPr="00056810" w14:paraId="2E9DE900" w14:textId="38ABB21D" w:rsidTr="00B404EE">
        <w:trPr>
          <w:trHeight w:val="2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DD78" w14:textId="7A64607D" w:rsidR="00D66830" w:rsidRPr="00056810" w:rsidRDefault="00D764F4" w:rsidP="00D66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Beverage </w:t>
            </w:r>
            <w:r w:rsidR="00D6683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Manufacturing</w:t>
            </w:r>
            <w:r w:rsidR="00D66830" w:rsidRPr="0005681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8806" w14:textId="709BEF7F" w:rsidR="00D66830" w:rsidRPr="00056810" w:rsidRDefault="00D66830" w:rsidP="00D668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1,750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C97E" w14:textId="1011C1A1" w:rsidR="00D66830" w:rsidRDefault="00D66830" w:rsidP="00D668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4.3%</w:t>
            </w:r>
          </w:p>
        </w:tc>
      </w:tr>
      <w:tr w:rsidR="00D66830" w:rsidRPr="00056810" w14:paraId="3A4F202A" w14:textId="77777777" w:rsidTr="00B404EE">
        <w:trPr>
          <w:trHeight w:val="2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030D" w14:textId="0892A757" w:rsidR="00D66830" w:rsidRPr="00056810" w:rsidRDefault="00D66830" w:rsidP="00D668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Travel Services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F1CC" w14:textId="2E00DF84" w:rsidR="00D66830" w:rsidRDefault="00D66830" w:rsidP="00D668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440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0469" w14:textId="19083CB4" w:rsidR="00D66830" w:rsidRDefault="00D66830" w:rsidP="00D668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1.1%</w:t>
            </w:r>
          </w:p>
        </w:tc>
      </w:tr>
      <w:tr w:rsidR="00D66830" w:rsidRPr="00056810" w14:paraId="22B53984" w14:textId="0A2AC124" w:rsidTr="00B404EE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69B5" w14:textId="33ACBECB" w:rsidR="00D66830" w:rsidRPr="00056810" w:rsidRDefault="00D66830" w:rsidP="00D668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68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Tourism-Related Jobs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E5C3" w14:textId="6F506728" w:rsidR="00D66830" w:rsidRPr="00056810" w:rsidRDefault="00D66830" w:rsidP="00D66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40,741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37CE" w14:textId="408EF625" w:rsidR="00D66830" w:rsidRDefault="00D66830" w:rsidP="00D66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</w:tr>
      <w:tr w:rsidR="00D66830" w:rsidRPr="00056810" w14:paraId="0C9100CD" w14:textId="2BA99661" w:rsidTr="00B404EE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EB04" w14:textId="31D875C4" w:rsidR="00D66830" w:rsidRPr="00056810" w:rsidRDefault="00D66830" w:rsidP="00D668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 Jobs, Niagara 2019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A983" w14:textId="3267CE57" w:rsidR="00D66830" w:rsidRPr="00056810" w:rsidRDefault="00D66830" w:rsidP="00D66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219,273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817" w14:textId="7BD0C0CB" w:rsidR="00D66830" w:rsidRDefault="00D66830" w:rsidP="00D668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14:paraId="1D6C549F" w14:textId="1F6FF6DA" w:rsidR="00281E5E" w:rsidRPr="00056810" w:rsidRDefault="00281E5E" w:rsidP="00281E5E">
      <w:pPr>
        <w:rPr>
          <w:color w:val="000000"/>
          <w:sz w:val="16"/>
          <w:szCs w:val="16"/>
        </w:rPr>
      </w:pPr>
      <w:r w:rsidRPr="00056810">
        <w:rPr>
          <w:color w:val="000000"/>
          <w:sz w:val="16"/>
          <w:szCs w:val="16"/>
        </w:rPr>
        <w:t xml:space="preserve">Source: </w:t>
      </w:r>
      <w:proofErr w:type="spellStart"/>
      <w:r w:rsidRPr="00056810">
        <w:rPr>
          <w:color w:val="000000"/>
          <w:sz w:val="16"/>
          <w:szCs w:val="16"/>
        </w:rPr>
        <w:t>Emsi</w:t>
      </w:r>
      <w:proofErr w:type="spellEnd"/>
      <w:r w:rsidR="00D66830">
        <w:rPr>
          <w:color w:val="000000"/>
          <w:sz w:val="16"/>
          <w:szCs w:val="16"/>
        </w:rPr>
        <w:t xml:space="preserve"> Analyst 2020.3</w:t>
      </w:r>
      <w:r w:rsidRPr="00056810">
        <w:rPr>
          <w:color w:val="000000"/>
          <w:sz w:val="16"/>
          <w:szCs w:val="16"/>
        </w:rPr>
        <w:t xml:space="preserve"> </w:t>
      </w:r>
      <w:r w:rsidR="00C96140">
        <w:rPr>
          <w:color w:val="000000"/>
          <w:sz w:val="16"/>
          <w:szCs w:val="16"/>
        </w:rPr>
        <w:t>Calculations by NWPB</w:t>
      </w:r>
    </w:p>
    <w:p w14:paraId="674CF93A" w14:textId="0699422C" w:rsidR="009E3198" w:rsidRPr="007F7D79" w:rsidRDefault="14843873" w:rsidP="0C2B2FE8">
      <w:pPr>
        <w:rPr>
          <w:color w:val="FF0000"/>
          <w:sz w:val="22"/>
        </w:rPr>
      </w:pPr>
      <w:r w:rsidRPr="41892A86">
        <w:rPr>
          <w:sz w:val="22"/>
        </w:rPr>
        <w:t xml:space="preserve">A Statistics Canada framework for measuring tourism identified the sectors in </w:t>
      </w:r>
      <w:r w:rsidR="26797310" w:rsidRPr="41892A86">
        <w:rPr>
          <w:sz w:val="22"/>
        </w:rPr>
        <w:t>T</w:t>
      </w:r>
      <w:r w:rsidRPr="41892A86">
        <w:rPr>
          <w:sz w:val="22"/>
        </w:rPr>
        <w:t>able 2 as essential to tourism</w:t>
      </w:r>
      <w:r w:rsidR="55AEE40D" w:rsidRPr="41892A86">
        <w:rPr>
          <w:sz w:val="22"/>
        </w:rPr>
        <w:t xml:space="preserve">. This is because any </w:t>
      </w:r>
      <w:r w:rsidR="46EEED0D" w:rsidRPr="622578E5">
        <w:rPr>
          <w:sz w:val="22"/>
        </w:rPr>
        <w:t>major reductions to tourism would significantly impact</w:t>
      </w:r>
      <w:r w:rsidR="4AF4FBE4" w:rsidRPr="41892A86">
        <w:rPr>
          <w:sz w:val="22"/>
        </w:rPr>
        <w:t xml:space="preserve"> the revenues of these sectors</w:t>
      </w:r>
      <w:r w:rsidR="46EEED0D" w:rsidRPr="622578E5">
        <w:rPr>
          <w:sz w:val="22"/>
        </w:rPr>
        <w:t>.</w:t>
      </w:r>
      <w:r w:rsidR="009E3198">
        <w:rPr>
          <w:sz w:val="22"/>
        </w:rPr>
        <w:t xml:space="preserve"> </w:t>
      </w:r>
      <w:r w:rsidR="00F55B0A">
        <w:rPr>
          <w:sz w:val="22"/>
        </w:rPr>
        <w:t xml:space="preserve">While an exact number of jobs lost to tourism due to COVID-19 is not available, we </w:t>
      </w:r>
      <w:r w:rsidR="00F55B0A" w:rsidRPr="007F7D79">
        <w:rPr>
          <w:sz w:val="22"/>
        </w:rPr>
        <w:t xml:space="preserve">can estimate the potential impacts locally. Pairing </w:t>
      </w:r>
      <w:r w:rsidR="00562103">
        <w:rPr>
          <w:sz w:val="22"/>
        </w:rPr>
        <w:t xml:space="preserve">current </w:t>
      </w:r>
      <w:r w:rsidR="00F55B0A" w:rsidRPr="007F7D79">
        <w:rPr>
          <w:sz w:val="22"/>
        </w:rPr>
        <w:t xml:space="preserve">employment </w:t>
      </w:r>
      <w:r w:rsidR="00F55B0A" w:rsidRPr="00D93867">
        <w:rPr>
          <w:sz w:val="22"/>
        </w:rPr>
        <w:t xml:space="preserve">trends and </w:t>
      </w:r>
      <w:r w:rsidR="00562103">
        <w:rPr>
          <w:sz w:val="22"/>
        </w:rPr>
        <w:t xml:space="preserve">2019 </w:t>
      </w:r>
      <w:r w:rsidR="00F55B0A" w:rsidRPr="00D93867">
        <w:rPr>
          <w:sz w:val="22"/>
        </w:rPr>
        <w:t>job count data,</w:t>
      </w:r>
      <w:r w:rsidR="3DF90254" w:rsidRPr="00D93867">
        <w:rPr>
          <w:sz w:val="22"/>
        </w:rPr>
        <w:t xml:space="preserve"> NWPB estimates that </w:t>
      </w:r>
      <w:r w:rsidR="009E3198" w:rsidRPr="00D93867">
        <w:rPr>
          <w:sz w:val="22"/>
        </w:rPr>
        <w:t>Niagara saw a</w:t>
      </w:r>
      <w:r w:rsidR="001C31F3" w:rsidRPr="00D93867">
        <w:rPr>
          <w:sz w:val="22"/>
        </w:rPr>
        <w:t>n estimated</w:t>
      </w:r>
      <w:r w:rsidR="009E3198" w:rsidRPr="00D93867">
        <w:rPr>
          <w:sz w:val="22"/>
        </w:rPr>
        <w:t xml:space="preserve"> </w:t>
      </w:r>
      <w:r w:rsidR="00BF337D" w:rsidRPr="00D93867">
        <w:rPr>
          <w:sz w:val="22"/>
        </w:rPr>
        <w:t>1</w:t>
      </w:r>
      <w:r w:rsidR="007F7D79" w:rsidRPr="00D93867">
        <w:rPr>
          <w:sz w:val="22"/>
        </w:rPr>
        <w:t>6</w:t>
      </w:r>
      <w:r w:rsidR="00BF337D" w:rsidRPr="00D93867">
        <w:rPr>
          <w:sz w:val="22"/>
        </w:rPr>
        <w:t>,</w:t>
      </w:r>
      <w:r w:rsidR="00D93867" w:rsidRPr="00D93867">
        <w:rPr>
          <w:sz w:val="22"/>
        </w:rPr>
        <w:t>327</w:t>
      </w:r>
      <w:r w:rsidR="2110E074" w:rsidRPr="007F7D79">
        <w:rPr>
          <w:sz w:val="22"/>
        </w:rPr>
        <w:t xml:space="preserve"> people lose employment in tourism. This </w:t>
      </w:r>
      <w:r w:rsidR="003148BC" w:rsidRPr="007F7D79">
        <w:rPr>
          <w:sz w:val="22"/>
        </w:rPr>
        <w:t xml:space="preserve">would be a decrease of </w:t>
      </w:r>
      <w:r w:rsidR="007F7D79" w:rsidRPr="007F7D79">
        <w:rPr>
          <w:sz w:val="22"/>
        </w:rPr>
        <w:t>42</w:t>
      </w:r>
      <w:r w:rsidR="00E127FD" w:rsidRPr="007F7D79">
        <w:rPr>
          <w:sz w:val="22"/>
        </w:rPr>
        <w:t>.</w:t>
      </w:r>
      <w:r w:rsidR="007F7D79" w:rsidRPr="007F7D79">
        <w:rPr>
          <w:sz w:val="22"/>
        </w:rPr>
        <w:t>3</w:t>
      </w:r>
      <w:r w:rsidR="00E127FD" w:rsidRPr="007F7D79">
        <w:rPr>
          <w:sz w:val="22"/>
        </w:rPr>
        <w:t xml:space="preserve">% in tourism-related employment </w:t>
      </w:r>
      <w:r w:rsidR="00CA7EFC" w:rsidRPr="007F7D79">
        <w:rPr>
          <w:sz w:val="22"/>
        </w:rPr>
        <w:t>between</w:t>
      </w:r>
      <w:r w:rsidR="00B63691" w:rsidRPr="007F7D79">
        <w:rPr>
          <w:sz w:val="22"/>
        </w:rPr>
        <w:t xml:space="preserve"> February </w:t>
      </w:r>
      <w:r w:rsidR="00CA7EFC" w:rsidRPr="007F7D79">
        <w:rPr>
          <w:sz w:val="22"/>
        </w:rPr>
        <w:t>and</w:t>
      </w:r>
      <w:r w:rsidR="00B63691" w:rsidRPr="007F7D79">
        <w:rPr>
          <w:sz w:val="22"/>
        </w:rPr>
        <w:t xml:space="preserve"> July</w:t>
      </w:r>
      <w:r w:rsidR="00BF337D" w:rsidRPr="007F7D79">
        <w:rPr>
          <w:sz w:val="22"/>
        </w:rPr>
        <w:t xml:space="preserve"> 2020.</w:t>
      </w:r>
      <w:r w:rsidR="009E3198" w:rsidRPr="007F7D79">
        <w:rPr>
          <w:rStyle w:val="FootnoteReference"/>
          <w:sz w:val="22"/>
        </w:rPr>
        <w:footnoteReference w:id="6"/>
      </w:r>
      <w:r w:rsidR="00264380" w:rsidRPr="007F7D79">
        <w:rPr>
          <w:sz w:val="22"/>
        </w:rPr>
        <w:t xml:space="preserve"> </w:t>
      </w:r>
    </w:p>
    <w:p w14:paraId="5FF71F2B" w14:textId="0F020828" w:rsidR="00281E5E" w:rsidRPr="003443FE" w:rsidRDefault="00264380" w:rsidP="0C2B2FE8">
      <w:pPr>
        <w:rPr>
          <w:sz w:val="22"/>
        </w:rPr>
      </w:pPr>
      <w:r w:rsidRPr="003443FE">
        <w:rPr>
          <w:sz w:val="22"/>
        </w:rPr>
        <w:t xml:space="preserve">This decrease is particularly troubling as it comes at a time when tourism is usually at its peak in Niagara. </w:t>
      </w:r>
      <w:r w:rsidR="000A08AC" w:rsidRPr="003443FE">
        <w:rPr>
          <w:sz w:val="22"/>
        </w:rPr>
        <w:t>Within Niagara, t</w:t>
      </w:r>
      <w:r w:rsidR="006D50BE" w:rsidRPr="003443FE">
        <w:rPr>
          <w:sz w:val="22"/>
        </w:rPr>
        <w:t xml:space="preserve">he </w:t>
      </w:r>
      <w:r w:rsidR="006D50BE" w:rsidRPr="003443FE">
        <w:rPr>
          <w:i/>
          <w:iCs/>
          <w:sz w:val="22"/>
        </w:rPr>
        <w:t xml:space="preserve">wholesale and retail trade </w:t>
      </w:r>
      <w:r w:rsidR="006D50BE" w:rsidRPr="003443FE">
        <w:rPr>
          <w:sz w:val="22"/>
        </w:rPr>
        <w:t xml:space="preserve">industry saw </w:t>
      </w:r>
      <w:r w:rsidR="000A08AC" w:rsidRPr="003443FE">
        <w:rPr>
          <w:sz w:val="22"/>
        </w:rPr>
        <w:t xml:space="preserve">similar </w:t>
      </w:r>
      <w:r w:rsidR="006D50BE" w:rsidRPr="003443FE">
        <w:rPr>
          <w:sz w:val="22"/>
        </w:rPr>
        <w:t xml:space="preserve">employment losses throughout COVID-19. </w:t>
      </w:r>
      <w:r w:rsidR="008811E6" w:rsidRPr="003443FE">
        <w:rPr>
          <w:sz w:val="22"/>
        </w:rPr>
        <w:t>Specifically, f</w:t>
      </w:r>
      <w:r w:rsidRPr="003443FE">
        <w:rPr>
          <w:sz w:val="22"/>
        </w:rPr>
        <w:t xml:space="preserve">rom February through July, the </w:t>
      </w:r>
      <w:r w:rsidR="006C0D8D" w:rsidRPr="003443FE">
        <w:rPr>
          <w:sz w:val="22"/>
        </w:rPr>
        <w:t>whole</w:t>
      </w:r>
      <w:r w:rsidR="000A08AC" w:rsidRPr="003443FE">
        <w:rPr>
          <w:sz w:val="22"/>
        </w:rPr>
        <w:t>sale</w:t>
      </w:r>
      <w:r w:rsidR="006C0D8D" w:rsidRPr="003443FE">
        <w:rPr>
          <w:sz w:val="22"/>
        </w:rPr>
        <w:t xml:space="preserve"> and </w:t>
      </w:r>
      <w:r w:rsidRPr="003443FE">
        <w:rPr>
          <w:sz w:val="22"/>
        </w:rPr>
        <w:t>retail trade sector saw an overall decrease of 7,200 people employed</w:t>
      </w:r>
      <w:r w:rsidR="008811E6" w:rsidRPr="003443FE">
        <w:rPr>
          <w:sz w:val="22"/>
        </w:rPr>
        <w:t>, or 22.3% of total employment prior to the pandemic</w:t>
      </w:r>
      <w:r w:rsidR="009E3198" w:rsidRPr="003443FE">
        <w:rPr>
          <w:sz w:val="22"/>
        </w:rPr>
        <w:t>.</w:t>
      </w:r>
    </w:p>
    <w:p w14:paraId="2673926F" w14:textId="77777777" w:rsidR="00281E5E" w:rsidRPr="00056810" w:rsidRDefault="003E4431" w:rsidP="00281E5E">
      <w:pPr>
        <w:spacing w:line="257" w:lineRule="auto"/>
        <w:contextualSpacing/>
        <w:rPr>
          <w:color w:val="0070C0"/>
          <w:sz w:val="22"/>
        </w:rPr>
      </w:pPr>
      <w:r w:rsidRPr="00056810">
        <w:rPr>
          <w:color w:val="0070C0"/>
          <w:sz w:val="22"/>
        </w:rPr>
        <w:t>Table 3</w:t>
      </w:r>
      <w:r w:rsidR="00056810">
        <w:rPr>
          <w:color w:val="0070C0"/>
          <w:sz w:val="22"/>
        </w:rPr>
        <w:t>.</w:t>
      </w:r>
      <w:r w:rsidR="00281E5E" w:rsidRPr="00056810">
        <w:rPr>
          <w:color w:val="0070C0"/>
          <w:sz w:val="22"/>
        </w:rPr>
        <w:t xml:space="preserve"> Niagara residents reporting employment in tourism sectors, February-July 2020 </w:t>
      </w:r>
    </w:p>
    <w:tbl>
      <w:tblPr>
        <w:tblW w:w="9611" w:type="dxa"/>
        <w:tblLook w:val="04A0" w:firstRow="1" w:lastRow="0" w:firstColumn="1" w:lastColumn="0" w:noHBand="0" w:noVBand="1"/>
      </w:tblPr>
      <w:tblGrid>
        <w:gridCol w:w="2585"/>
        <w:gridCol w:w="826"/>
        <w:gridCol w:w="848"/>
        <w:gridCol w:w="826"/>
        <w:gridCol w:w="826"/>
        <w:gridCol w:w="826"/>
        <w:gridCol w:w="826"/>
        <w:gridCol w:w="1024"/>
        <w:gridCol w:w="1024"/>
      </w:tblGrid>
      <w:tr w:rsidR="00D4743A" w:rsidRPr="00056810" w14:paraId="6772E9CF" w14:textId="1894057A" w:rsidTr="00697C30">
        <w:trPr>
          <w:trHeight w:val="144"/>
        </w:trPr>
        <w:tc>
          <w:tcPr>
            <w:tcW w:w="25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6FAF" w14:textId="77777777" w:rsidR="00D4743A" w:rsidRPr="00056810" w:rsidRDefault="00D4743A" w:rsidP="007B188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BFBFBF" w:themeColor="background1" w:themeShade="BF"/>
            </w:tcBorders>
            <w:shd w:val="clear" w:color="auto" w:fill="2F75B5"/>
            <w:noWrap/>
            <w:vAlign w:val="center"/>
            <w:hideMark/>
          </w:tcPr>
          <w:p w14:paraId="435A71BA" w14:textId="1A1E8AF4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lang w:val="en-US"/>
              </w:rPr>
            </w:pPr>
            <w:r>
              <w:rPr>
                <w:rFonts w:eastAsia="Times New Roman" w:cs="Times New Roman"/>
                <w:color w:val="FFFFFF"/>
                <w:sz w:val="20"/>
                <w:lang w:val="en-US"/>
              </w:rPr>
              <w:t>Feb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F75B5"/>
            <w:noWrap/>
            <w:vAlign w:val="center"/>
            <w:hideMark/>
          </w:tcPr>
          <w:p w14:paraId="7FC9CEA6" w14:textId="77777777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lang w:val="en-US"/>
              </w:rPr>
            </w:pPr>
            <w:r w:rsidRPr="00056810">
              <w:rPr>
                <w:rFonts w:eastAsia="Times New Roman" w:cs="Times New Roman"/>
                <w:color w:val="FFFFFF"/>
                <w:sz w:val="20"/>
                <w:lang w:val="en-US"/>
              </w:rPr>
              <w:t>March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F75B5"/>
            <w:noWrap/>
            <w:vAlign w:val="center"/>
            <w:hideMark/>
          </w:tcPr>
          <w:p w14:paraId="7C09AD96" w14:textId="77777777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lang w:val="en-US"/>
              </w:rPr>
            </w:pPr>
            <w:r w:rsidRPr="00056810">
              <w:rPr>
                <w:rFonts w:eastAsia="Times New Roman" w:cs="Times New Roman"/>
                <w:color w:val="FFFFFF"/>
                <w:sz w:val="20"/>
                <w:lang w:val="en-US"/>
              </w:rPr>
              <w:t>April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F75B5"/>
            <w:noWrap/>
            <w:vAlign w:val="center"/>
            <w:hideMark/>
          </w:tcPr>
          <w:p w14:paraId="1A555A4A" w14:textId="77777777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lang w:val="en-US"/>
              </w:rPr>
            </w:pPr>
            <w:r w:rsidRPr="00056810">
              <w:rPr>
                <w:rFonts w:eastAsia="Times New Roman" w:cs="Times New Roman"/>
                <w:color w:val="FFFFFF"/>
                <w:sz w:val="20"/>
                <w:lang w:val="en-US"/>
              </w:rPr>
              <w:t>May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F75B5"/>
            <w:noWrap/>
            <w:vAlign w:val="center"/>
            <w:hideMark/>
          </w:tcPr>
          <w:p w14:paraId="57759A07" w14:textId="77777777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lang w:val="en-US"/>
              </w:rPr>
            </w:pPr>
            <w:r w:rsidRPr="00056810">
              <w:rPr>
                <w:rFonts w:eastAsia="Times New Roman" w:cs="Times New Roman"/>
                <w:color w:val="FFFFFF"/>
                <w:sz w:val="20"/>
                <w:lang w:val="en-US"/>
              </w:rPr>
              <w:t>June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2F75B5"/>
            <w:noWrap/>
            <w:vAlign w:val="center"/>
            <w:hideMark/>
          </w:tcPr>
          <w:p w14:paraId="55A2F3E1" w14:textId="77777777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lang w:val="en-US"/>
              </w:rPr>
            </w:pPr>
            <w:r w:rsidRPr="00056810">
              <w:rPr>
                <w:rFonts w:eastAsia="Times New Roman" w:cs="Times New Roman"/>
                <w:color w:val="FFFFFF"/>
                <w:sz w:val="20"/>
                <w:lang w:val="en-US"/>
              </w:rPr>
              <w:t>July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2F75B5"/>
            <w:vAlign w:val="center"/>
          </w:tcPr>
          <w:p w14:paraId="01A2EA79" w14:textId="528EFEEA" w:rsidR="00D4743A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lang w:val="en-US"/>
              </w:rPr>
            </w:pPr>
            <w:r>
              <w:rPr>
                <w:rFonts w:eastAsia="Times New Roman" w:cs="Times New Roman"/>
                <w:color w:val="FFFFFF"/>
                <w:sz w:val="20"/>
                <w:lang w:val="en-US"/>
              </w:rPr>
              <w:t xml:space="preserve">Feb-July </w:t>
            </w:r>
          </w:p>
        </w:tc>
      </w:tr>
      <w:tr w:rsidR="00D4743A" w:rsidRPr="00056810" w14:paraId="18C58403" w14:textId="77777777" w:rsidTr="00697C30">
        <w:trPr>
          <w:trHeight w:val="144"/>
        </w:trPr>
        <w:tc>
          <w:tcPr>
            <w:tcW w:w="25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D9837" w14:textId="77777777" w:rsidR="00D4743A" w:rsidRPr="00056810" w:rsidRDefault="00D4743A" w:rsidP="007B188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2F75B5"/>
            <w:noWrap/>
            <w:vAlign w:val="center"/>
          </w:tcPr>
          <w:p w14:paraId="5C554780" w14:textId="77777777" w:rsidR="00D4743A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lang w:val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2F75B5"/>
            <w:noWrap/>
            <w:vAlign w:val="center"/>
          </w:tcPr>
          <w:p w14:paraId="4EA4EB51" w14:textId="77777777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lang w:val="en-US"/>
              </w:rPr>
            </w:pPr>
          </w:p>
        </w:tc>
        <w:tc>
          <w:tcPr>
            <w:tcW w:w="826" w:type="dxa"/>
            <w:vMerge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2F75B5"/>
            <w:noWrap/>
            <w:vAlign w:val="center"/>
          </w:tcPr>
          <w:p w14:paraId="27E458E5" w14:textId="77777777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lang w:val="en-US"/>
              </w:rPr>
            </w:pPr>
          </w:p>
        </w:tc>
        <w:tc>
          <w:tcPr>
            <w:tcW w:w="826" w:type="dxa"/>
            <w:vMerge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2F75B5"/>
            <w:noWrap/>
            <w:vAlign w:val="center"/>
          </w:tcPr>
          <w:p w14:paraId="7E331431" w14:textId="77777777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lang w:val="en-US"/>
              </w:rPr>
            </w:pPr>
          </w:p>
        </w:tc>
        <w:tc>
          <w:tcPr>
            <w:tcW w:w="826" w:type="dxa"/>
            <w:vMerge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2F75B5"/>
            <w:noWrap/>
            <w:vAlign w:val="center"/>
          </w:tcPr>
          <w:p w14:paraId="089A9530" w14:textId="77777777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lang w:val="en-US"/>
              </w:rPr>
            </w:pPr>
          </w:p>
        </w:tc>
        <w:tc>
          <w:tcPr>
            <w:tcW w:w="826" w:type="dxa"/>
            <w:vMerge/>
            <w:tcBorders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vAlign w:val="center"/>
          </w:tcPr>
          <w:p w14:paraId="2D5A0FCE" w14:textId="77777777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lang w:val="en-US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2F75B5"/>
            <w:vAlign w:val="center"/>
          </w:tcPr>
          <w:p w14:paraId="731D229B" w14:textId="4EA4C762" w:rsidR="00D4743A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lang w:val="en-US"/>
              </w:rPr>
            </w:pPr>
            <w:r>
              <w:rPr>
                <w:rFonts w:eastAsia="Times New Roman" w:cs="Times New Roman"/>
                <w:color w:val="FFFFFF"/>
                <w:sz w:val="20"/>
                <w:lang w:val="en-US"/>
              </w:rPr>
              <w:t>Change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2F75B5"/>
          </w:tcPr>
          <w:p w14:paraId="3FC58D2B" w14:textId="7C134D5E" w:rsidR="00D4743A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lang w:val="en-US"/>
              </w:rPr>
            </w:pPr>
            <w:r>
              <w:rPr>
                <w:rFonts w:eastAsia="Times New Roman" w:cs="Times New Roman"/>
                <w:color w:val="FFFFFF"/>
                <w:sz w:val="20"/>
                <w:lang w:val="en-US"/>
              </w:rPr>
              <w:t>% Change</w:t>
            </w:r>
          </w:p>
        </w:tc>
      </w:tr>
      <w:tr w:rsidR="00697C30" w:rsidRPr="00056810" w14:paraId="707F0918" w14:textId="6209CC91" w:rsidTr="00A3537D">
        <w:trPr>
          <w:trHeight w:val="168"/>
        </w:trPr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F75B5"/>
            <w:vAlign w:val="bottom"/>
            <w:hideMark/>
          </w:tcPr>
          <w:p w14:paraId="3E8099B1" w14:textId="6E9D0C06" w:rsidR="00697C30" w:rsidRPr="00056810" w:rsidRDefault="00697C30" w:rsidP="00697C30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val="en-US"/>
              </w:rPr>
            </w:pPr>
            <w:r w:rsidRPr="05279A5A">
              <w:rPr>
                <w:rFonts w:eastAsia="Times New Roman" w:cs="Times New Roman"/>
                <w:color w:val="FFFFFF" w:themeColor="background1"/>
                <w:sz w:val="20"/>
                <w:szCs w:val="20"/>
                <w:lang w:val="en-US"/>
              </w:rPr>
              <w:t>Tourism-related employment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694FFED" w14:textId="5EF229AA" w:rsidR="00697C30" w:rsidRPr="00697C30" w:rsidRDefault="00697C30" w:rsidP="00A353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97C30">
              <w:rPr>
                <w:sz w:val="20"/>
                <w:szCs w:val="20"/>
              </w:rPr>
              <w:t>38,568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D2B2520" w14:textId="156FA43F" w:rsidR="00697C30" w:rsidRPr="00697C30" w:rsidRDefault="00697C30" w:rsidP="00A353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97C30">
              <w:rPr>
                <w:sz w:val="20"/>
                <w:szCs w:val="20"/>
              </w:rPr>
              <w:t>33,656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B3C2A64" w14:textId="595BEC65" w:rsidR="00697C30" w:rsidRPr="00697C30" w:rsidRDefault="00697C30" w:rsidP="00A353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97C30">
              <w:rPr>
                <w:sz w:val="20"/>
                <w:szCs w:val="20"/>
              </w:rPr>
              <w:t>27,218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E334293" w14:textId="36EB01C4" w:rsidR="00697C30" w:rsidRPr="00697C30" w:rsidRDefault="00697C30" w:rsidP="00A353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97C30">
              <w:rPr>
                <w:sz w:val="20"/>
                <w:szCs w:val="20"/>
              </w:rPr>
              <w:t>21,978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8DF22C" w14:textId="1C91A4DC" w:rsidR="00697C30" w:rsidRPr="00697C30" w:rsidRDefault="00697C30" w:rsidP="00A353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97C30">
              <w:rPr>
                <w:sz w:val="20"/>
                <w:szCs w:val="20"/>
              </w:rPr>
              <w:t>20,111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043A0" w14:textId="12A57C2D" w:rsidR="00697C30" w:rsidRPr="00697C30" w:rsidRDefault="00697C30" w:rsidP="00A353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97C30">
              <w:rPr>
                <w:sz w:val="20"/>
                <w:szCs w:val="20"/>
              </w:rPr>
              <w:t>22,240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68D80" w14:textId="21FC0B59" w:rsidR="00697C30" w:rsidRPr="00697C30" w:rsidRDefault="00697C30" w:rsidP="00697C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697C30">
              <w:rPr>
                <w:sz w:val="20"/>
                <w:szCs w:val="20"/>
              </w:rPr>
              <w:t>-16,327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F9C1C0" w14:textId="78D8CBF1" w:rsidR="00697C30" w:rsidRDefault="00697C30" w:rsidP="00697C3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-42.3%</w:t>
            </w:r>
          </w:p>
        </w:tc>
      </w:tr>
      <w:tr w:rsidR="00D4743A" w:rsidRPr="00056810" w14:paraId="62364EF5" w14:textId="048AB759" w:rsidTr="007D50B3">
        <w:trPr>
          <w:trHeight w:val="168"/>
        </w:trPr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75B5"/>
            <w:vAlign w:val="bottom"/>
          </w:tcPr>
          <w:p w14:paraId="47B61B4F" w14:textId="19E33400" w:rsidR="00D4743A" w:rsidRPr="00056810" w:rsidRDefault="00D4743A" w:rsidP="00716F55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lang w:val="en-US"/>
              </w:rPr>
            </w:pPr>
            <w:r>
              <w:rPr>
                <w:rFonts w:eastAsia="Times New Roman" w:cs="Times New Roman"/>
                <w:color w:val="FFFFFF"/>
                <w:sz w:val="20"/>
                <w:lang w:val="en-US"/>
              </w:rPr>
              <w:t>Wholesale and retail trade industry employment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0427101" w14:textId="31127349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lang w:val="en-US"/>
              </w:rPr>
              <w:t>32,300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FF5FBE4" w14:textId="2BDD9089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lang w:val="en-US"/>
              </w:rPr>
              <w:t>29,700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ACD5370" w14:textId="108DBE8A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lang w:val="en-US"/>
              </w:rPr>
              <w:t>27,900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206C208" w14:textId="28D37552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lang w:val="en-US"/>
              </w:rPr>
              <w:t>25,600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84E9EA5" w14:textId="5348A5AD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lang w:val="en-US"/>
              </w:rPr>
              <w:t>24,900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15CE" w14:textId="2508C45A" w:rsidR="00D4743A" w:rsidRPr="00056810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lang w:val="en-US"/>
              </w:rPr>
              <w:t>25,100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D83C0B" w14:textId="588AB7FE" w:rsidR="00D4743A" w:rsidRDefault="00D474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lang w:val="en-US"/>
              </w:rPr>
              <w:t>-7,200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A88794" w14:textId="17CCC880" w:rsidR="00D4743A" w:rsidRDefault="007D50B3" w:rsidP="007D50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lang w:val="en-US"/>
              </w:rPr>
              <w:t>-22.3%</w:t>
            </w:r>
          </w:p>
        </w:tc>
      </w:tr>
    </w:tbl>
    <w:p w14:paraId="548CD1DB" w14:textId="0630ADCA" w:rsidR="00281E5E" w:rsidRPr="00056810" w:rsidRDefault="00281E5E" w:rsidP="00281E5E">
      <w:pPr>
        <w:rPr>
          <w:sz w:val="16"/>
          <w:szCs w:val="16"/>
        </w:rPr>
      </w:pPr>
      <w:r w:rsidRPr="00056810">
        <w:rPr>
          <w:sz w:val="16"/>
          <w:szCs w:val="16"/>
        </w:rPr>
        <w:t>Source: Statistics Canada. Table 14-10-0097-01 Employment by industry, three-month moving average, unadjusted for seasonality, census metropolitan areas (x 1,000)</w:t>
      </w:r>
      <w:r w:rsidR="00BF337D" w:rsidRPr="00056810">
        <w:rPr>
          <w:sz w:val="16"/>
          <w:szCs w:val="16"/>
        </w:rPr>
        <w:t xml:space="preserve">. </w:t>
      </w:r>
      <w:r w:rsidR="00222E1A">
        <w:rPr>
          <w:sz w:val="16"/>
          <w:szCs w:val="16"/>
        </w:rPr>
        <w:t>Calculations by NWPB.</w:t>
      </w:r>
    </w:p>
    <w:p w14:paraId="395BAD61" w14:textId="240F0B0C" w:rsidR="00BF337D" w:rsidRPr="00056810" w:rsidRDefault="009B2EBC" w:rsidP="00BF337D">
      <w:pPr>
        <w:pStyle w:val="Heading2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Retail and </w:t>
      </w:r>
      <w:r w:rsidR="00BF337D" w:rsidRPr="00056810">
        <w:rPr>
          <w:rFonts w:ascii="Century Gothic" w:hAnsi="Century Gothic"/>
          <w:sz w:val="24"/>
        </w:rPr>
        <w:t>Tourism Businesses</w:t>
      </w:r>
    </w:p>
    <w:p w14:paraId="0D172E85" w14:textId="7393C7B0" w:rsidR="00056810" w:rsidRPr="00056810" w:rsidRDefault="00A53BA3" w:rsidP="05279A5A">
      <w:pPr>
        <w:rPr>
          <w:sz w:val="22"/>
        </w:rPr>
      </w:pPr>
      <w:r w:rsidRPr="05279A5A">
        <w:rPr>
          <w:sz w:val="22"/>
        </w:rPr>
        <w:t>Data from the Niagara Economic Rapid Response Team (NERRT) also provide insights on the</w:t>
      </w:r>
      <w:r w:rsidR="003E4431" w:rsidRPr="05279A5A">
        <w:rPr>
          <w:sz w:val="22"/>
        </w:rPr>
        <w:t xml:space="preserve"> impact </w:t>
      </w:r>
      <w:r w:rsidRPr="05279A5A">
        <w:rPr>
          <w:sz w:val="22"/>
        </w:rPr>
        <w:t xml:space="preserve">of COVID-19 </w:t>
      </w:r>
      <w:r w:rsidR="003E4431" w:rsidRPr="05279A5A">
        <w:rPr>
          <w:sz w:val="22"/>
        </w:rPr>
        <w:t>on local tourism businesses</w:t>
      </w:r>
      <w:r w:rsidR="00BF337D" w:rsidRPr="05279A5A">
        <w:rPr>
          <w:sz w:val="22"/>
        </w:rPr>
        <w:t>.</w:t>
      </w:r>
      <w:r w:rsidR="003E4431" w:rsidRPr="05279A5A">
        <w:rPr>
          <w:rStyle w:val="FootnoteReference"/>
          <w:sz w:val="22"/>
        </w:rPr>
        <w:footnoteReference w:id="7"/>
      </w:r>
      <w:r w:rsidR="00BF337D" w:rsidRPr="05279A5A">
        <w:rPr>
          <w:sz w:val="22"/>
        </w:rPr>
        <w:t xml:space="preserve"> </w:t>
      </w:r>
      <w:r w:rsidR="00CD5F6C">
        <w:rPr>
          <w:sz w:val="22"/>
        </w:rPr>
        <w:t xml:space="preserve">The current report outlines data </w:t>
      </w:r>
      <w:r w:rsidR="00056810" w:rsidRPr="05279A5A">
        <w:rPr>
          <w:sz w:val="22"/>
        </w:rPr>
        <w:t xml:space="preserve">from respondents in the </w:t>
      </w:r>
      <w:r w:rsidR="00056810" w:rsidRPr="71FE9B99">
        <w:rPr>
          <w:i/>
          <w:iCs/>
          <w:sz w:val="22"/>
        </w:rPr>
        <w:t xml:space="preserve">accommodation and food services </w:t>
      </w:r>
      <w:r w:rsidR="00056810" w:rsidRPr="05279A5A">
        <w:rPr>
          <w:sz w:val="22"/>
        </w:rPr>
        <w:t xml:space="preserve">industry. Though this industry does not represent every tourism-related </w:t>
      </w:r>
      <w:r w:rsidR="00B404EE" w:rsidRPr="05279A5A">
        <w:rPr>
          <w:sz w:val="22"/>
        </w:rPr>
        <w:t>business</w:t>
      </w:r>
      <w:r w:rsidR="00056810" w:rsidRPr="05279A5A">
        <w:rPr>
          <w:sz w:val="22"/>
        </w:rPr>
        <w:t xml:space="preserve"> in Niagara, </w:t>
      </w:r>
      <w:r w:rsidR="00BE43EB">
        <w:rPr>
          <w:sz w:val="22"/>
        </w:rPr>
        <w:t>66.3</w:t>
      </w:r>
      <w:r w:rsidR="00B404EE" w:rsidRPr="05279A5A">
        <w:rPr>
          <w:sz w:val="22"/>
        </w:rPr>
        <w:t xml:space="preserve">% </w:t>
      </w:r>
      <w:r w:rsidR="00B24F96" w:rsidRPr="05279A5A">
        <w:rPr>
          <w:sz w:val="22"/>
        </w:rPr>
        <w:t xml:space="preserve">of all tourism-related jobs can be found within the </w:t>
      </w:r>
      <w:r w:rsidR="00B24F96" w:rsidRPr="71FE9B99">
        <w:rPr>
          <w:i/>
          <w:iCs/>
          <w:sz w:val="22"/>
        </w:rPr>
        <w:t xml:space="preserve">accommodation and food services </w:t>
      </w:r>
      <w:r w:rsidR="00B24F96" w:rsidRPr="05279A5A">
        <w:rPr>
          <w:sz w:val="22"/>
        </w:rPr>
        <w:t>sector</w:t>
      </w:r>
      <w:r w:rsidR="00B24F96" w:rsidRPr="71FE9B99">
        <w:rPr>
          <w:i/>
          <w:iCs/>
          <w:sz w:val="22"/>
        </w:rPr>
        <w:t xml:space="preserve">. </w:t>
      </w:r>
      <w:r w:rsidR="00B24F96" w:rsidRPr="05279A5A">
        <w:rPr>
          <w:sz w:val="22"/>
        </w:rPr>
        <w:t xml:space="preserve">Moreover, </w:t>
      </w:r>
      <w:r w:rsidR="00B24F96" w:rsidRPr="71FE9B99">
        <w:rPr>
          <w:i/>
          <w:iCs/>
          <w:sz w:val="22"/>
        </w:rPr>
        <w:t xml:space="preserve">within this sector, </w:t>
      </w:r>
      <w:r w:rsidR="00913A04">
        <w:rPr>
          <w:sz w:val="22"/>
        </w:rPr>
        <w:t>96.4</w:t>
      </w:r>
      <w:r w:rsidR="00056810" w:rsidRPr="05279A5A">
        <w:rPr>
          <w:sz w:val="22"/>
        </w:rPr>
        <w:t xml:space="preserve">% of </w:t>
      </w:r>
      <w:r w:rsidR="00056810" w:rsidRPr="71FE9B99">
        <w:rPr>
          <w:i/>
          <w:iCs/>
          <w:sz w:val="22"/>
        </w:rPr>
        <w:t xml:space="preserve">jobs </w:t>
      </w:r>
      <w:r w:rsidR="00056810" w:rsidRPr="05279A5A">
        <w:rPr>
          <w:sz w:val="22"/>
        </w:rPr>
        <w:t>are considered tourism-related.</w:t>
      </w:r>
      <w:r w:rsidR="008D59A9" w:rsidRPr="05279A5A">
        <w:rPr>
          <w:sz w:val="22"/>
        </w:rPr>
        <w:t xml:space="preserve"> </w:t>
      </w:r>
    </w:p>
    <w:p w14:paraId="4D605458" w14:textId="731C0A2C" w:rsidR="00281E5E" w:rsidRPr="00056810" w:rsidRDefault="00BF337D" w:rsidP="05279A5A">
      <w:pPr>
        <w:rPr>
          <w:sz w:val="22"/>
        </w:rPr>
      </w:pPr>
      <w:r w:rsidRPr="05279A5A">
        <w:rPr>
          <w:sz w:val="22"/>
        </w:rPr>
        <w:t>D</w:t>
      </w:r>
      <w:r w:rsidR="00281E5E" w:rsidRPr="05279A5A">
        <w:rPr>
          <w:sz w:val="22"/>
        </w:rPr>
        <w:t xml:space="preserve">ata from the </w:t>
      </w:r>
      <w:r w:rsidR="005062A6" w:rsidRPr="05279A5A">
        <w:rPr>
          <w:sz w:val="22"/>
        </w:rPr>
        <w:t xml:space="preserve">NERRT’s </w:t>
      </w:r>
      <w:r w:rsidR="00A81ECF">
        <w:rPr>
          <w:sz w:val="22"/>
        </w:rPr>
        <w:t>survey show that</w:t>
      </w:r>
      <w:r w:rsidR="00281E5E" w:rsidRPr="05279A5A">
        <w:rPr>
          <w:sz w:val="22"/>
        </w:rPr>
        <w:t xml:space="preserve"> by the end of March, 63</w:t>
      </w:r>
      <w:r w:rsidR="005752C9">
        <w:rPr>
          <w:sz w:val="22"/>
        </w:rPr>
        <w:t>.2</w:t>
      </w:r>
      <w:r w:rsidR="00281E5E" w:rsidRPr="05279A5A">
        <w:rPr>
          <w:sz w:val="22"/>
        </w:rPr>
        <w:t xml:space="preserve">% of Niagara employers in </w:t>
      </w:r>
      <w:r w:rsidR="00281E5E" w:rsidRPr="05279A5A">
        <w:rPr>
          <w:i/>
          <w:iCs/>
          <w:sz w:val="22"/>
        </w:rPr>
        <w:t>accommodation and food services</w:t>
      </w:r>
      <w:r w:rsidRPr="05279A5A">
        <w:rPr>
          <w:i/>
          <w:iCs/>
          <w:sz w:val="22"/>
        </w:rPr>
        <w:t xml:space="preserve"> </w:t>
      </w:r>
      <w:r w:rsidR="00281E5E" w:rsidRPr="05279A5A">
        <w:rPr>
          <w:sz w:val="22"/>
        </w:rPr>
        <w:t xml:space="preserve">had already reported 76%-100% reductions in staff. Moreover, survey respondents from the </w:t>
      </w:r>
      <w:r w:rsidR="00281E5E" w:rsidRPr="05279A5A">
        <w:rPr>
          <w:i/>
          <w:iCs/>
          <w:sz w:val="22"/>
        </w:rPr>
        <w:t xml:space="preserve">accommodation and food services </w:t>
      </w:r>
      <w:r w:rsidR="00281E5E" w:rsidRPr="05279A5A">
        <w:rPr>
          <w:sz w:val="22"/>
        </w:rPr>
        <w:t>industry</w:t>
      </w:r>
      <w:r w:rsidR="00281E5E" w:rsidRPr="05279A5A">
        <w:rPr>
          <w:i/>
          <w:iCs/>
          <w:sz w:val="22"/>
        </w:rPr>
        <w:t xml:space="preserve"> </w:t>
      </w:r>
      <w:r w:rsidR="00281E5E" w:rsidRPr="05279A5A">
        <w:rPr>
          <w:sz w:val="22"/>
        </w:rPr>
        <w:t xml:space="preserve">noted that if current conditions continued for six months, they </w:t>
      </w:r>
      <w:r w:rsidR="00B3099D" w:rsidRPr="05279A5A">
        <w:rPr>
          <w:sz w:val="22"/>
        </w:rPr>
        <w:t>expected</w:t>
      </w:r>
      <w:r w:rsidR="00281E5E" w:rsidRPr="05279A5A">
        <w:rPr>
          <w:sz w:val="22"/>
        </w:rPr>
        <w:t xml:space="preserve"> revenue loss of $342.7 million</w:t>
      </w:r>
      <w:r w:rsidR="003E21A4" w:rsidRPr="05279A5A">
        <w:rPr>
          <w:sz w:val="22"/>
        </w:rPr>
        <w:t xml:space="preserve"> (see Table 4). </w:t>
      </w:r>
    </w:p>
    <w:p w14:paraId="03909E5F" w14:textId="77777777" w:rsidR="00281E5E" w:rsidRPr="00056810" w:rsidRDefault="003E4431" w:rsidP="00281E5E">
      <w:pPr>
        <w:pStyle w:val="Default"/>
        <w:rPr>
          <w:rFonts w:ascii="Century Gothic" w:hAnsi="Century Gothic"/>
          <w:color w:val="0070C0"/>
          <w:sz w:val="22"/>
          <w:szCs w:val="22"/>
        </w:rPr>
      </w:pPr>
      <w:r w:rsidRPr="00056810">
        <w:rPr>
          <w:rFonts w:ascii="Century Gothic" w:hAnsi="Century Gothic"/>
          <w:color w:val="0070C0"/>
          <w:sz w:val="22"/>
          <w:szCs w:val="22"/>
        </w:rPr>
        <w:t>Table 4</w:t>
      </w:r>
      <w:r w:rsidR="00056810">
        <w:rPr>
          <w:rFonts w:ascii="Century Gothic" w:hAnsi="Century Gothic"/>
          <w:color w:val="0070C0"/>
          <w:sz w:val="22"/>
          <w:szCs w:val="22"/>
        </w:rPr>
        <w:t>.</w:t>
      </w:r>
      <w:r w:rsidR="00281E5E" w:rsidRPr="00056810">
        <w:rPr>
          <w:rFonts w:ascii="Century Gothic" w:hAnsi="Century Gothic"/>
          <w:color w:val="0070C0"/>
          <w:sz w:val="22"/>
          <w:szCs w:val="22"/>
        </w:rPr>
        <w:t xml:space="preserve"> Expected revenue loss due to COVID-19 for accommodation and food services businesses, Niagara</w:t>
      </w:r>
    </w:p>
    <w:tbl>
      <w:tblPr>
        <w:tblW w:w="7783" w:type="dxa"/>
        <w:tblLook w:val="04A0" w:firstRow="1" w:lastRow="0" w:firstColumn="1" w:lastColumn="0" w:noHBand="0" w:noVBand="1"/>
      </w:tblPr>
      <w:tblGrid>
        <w:gridCol w:w="2694"/>
        <w:gridCol w:w="1614"/>
        <w:gridCol w:w="1736"/>
        <w:gridCol w:w="1739"/>
      </w:tblGrid>
      <w:tr w:rsidR="00281E5E" w:rsidRPr="00056810" w14:paraId="4547F574" w14:textId="77777777" w:rsidTr="00B32583">
        <w:trPr>
          <w:trHeight w:val="1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534A" w14:textId="77777777" w:rsidR="00281E5E" w:rsidRPr="00056810" w:rsidRDefault="00281E5E" w:rsidP="007B188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14:paraId="6640213C" w14:textId="77777777" w:rsidR="00281E5E" w:rsidRPr="00056810" w:rsidRDefault="00056810" w:rsidP="007B188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FFFFFF"/>
                <w:sz w:val="20"/>
                <w:szCs w:val="20"/>
                <w:lang w:val="en-US"/>
              </w:rPr>
              <w:t>E</w:t>
            </w:r>
            <w:r w:rsidR="00281E5E" w:rsidRPr="00056810">
              <w:rPr>
                <w:rFonts w:eastAsia="Times New Roman" w:cs="Times New Roman"/>
                <w:color w:val="FFFFFF"/>
                <w:sz w:val="20"/>
                <w:szCs w:val="20"/>
                <w:lang w:val="en-US"/>
              </w:rPr>
              <w:t>xpected revenue loss if conditions remain the same for:</w:t>
            </w:r>
          </w:p>
        </w:tc>
      </w:tr>
      <w:tr w:rsidR="00281E5E" w:rsidRPr="00056810" w14:paraId="780A66D1" w14:textId="77777777" w:rsidTr="00B32583">
        <w:trPr>
          <w:trHeight w:val="14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4A3D" w14:textId="77777777" w:rsidR="00281E5E" w:rsidRPr="00056810" w:rsidRDefault="00281E5E" w:rsidP="007B188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000000" w:fill="2F75B5"/>
            <w:noWrap/>
            <w:vAlign w:val="center"/>
            <w:hideMark/>
          </w:tcPr>
          <w:p w14:paraId="444D03F7" w14:textId="77777777" w:rsidR="00281E5E" w:rsidRPr="00056810" w:rsidRDefault="00281E5E" w:rsidP="007B188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val="en-US"/>
              </w:rPr>
            </w:pPr>
            <w:r w:rsidRPr="00056810">
              <w:rPr>
                <w:rFonts w:eastAsia="Times New Roman" w:cs="Times New Roman"/>
                <w:color w:val="FFFFFF"/>
                <w:sz w:val="20"/>
                <w:szCs w:val="20"/>
                <w:lang w:val="en-US"/>
              </w:rPr>
              <w:t>Three Months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000000" w:fill="2F75B5"/>
            <w:noWrap/>
            <w:vAlign w:val="center"/>
            <w:hideMark/>
          </w:tcPr>
          <w:p w14:paraId="599DF3AB" w14:textId="77777777" w:rsidR="00281E5E" w:rsidRPr="00056810" w:rsidRDefault="00281E5E" w:rsidP="007B188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val="en-US"/>
              </w:rPr>
            </w:pPr>
            <w:r w:rsidRPr="00056810">
              <w:rPr>
                <w:rFonts w:eastAsia="Times New Roman" w:cs="Times New Roman"/>
                <w:color w:val="FFFFFF"/>
                <w:sz w:val="20"/>
                <w:szCs w:val="20"/>
                <w:lang w:val="en-US"/>
              </w:rPr>
              <w:t>Six Months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14:paraId="1B99D844" w14:textId="77777777" w:rsidR="00281E5E" w:rsidRPr="00056810" w:rsidRDefault="00281E5E" w:rsidP="007B1880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val="en-US"/>
              </w:rPr>
            </w:pPr>
            <w:r w:rsidRPr="00056810">
              <w:rPr>
                <w:rFonts w:eastAsia="Times New Roman" w:cs="Times New Roman"/>
                <w:color w:val="FFFFFF"/>
                <w:sz w:val="20"/>
                <w:szCs w:val="20"/>
                <w:lang w:val="en-US"/>
              </w:rPr>
              <w:t>Twelve Months</w:t>
            </w:r>
          </w:p>
        </w:tc>
      </w:tr>
      <w:tr w:rsidR="00281E5E" w:rsidRPr="00056810" w14:paraId="18A2304F" w14:textId="77777777" w:rsidTr="00B32583">
        <w:trPr>
          <w:trHeight w:val="36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14:paraId="42175005" w14:textId="77777777" w:rsidR="00281E5E" w:rsidRPr="00056810" w:rsidRDefault="00281E5E" w:rsidP="007B1880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val="en-US"/>
              </w:rPr>
            </w:pPr>
            <w:r w:rsidRPr="00056810">
              <w:rPr>
                <w:rFonts w:eastAsia="Times New Roman" w:cs="Times New Roman"/>
                <w:color w:val="FFFFFF"/>
                <w:sz w:val="20"/>
                <w:szCs w:val="20"/>
                <w:lang w:val="en-US"/>
              </w:rPr>
              <w:t>Average per respondent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3659F78" w14:textId="77777777" w:rsidR="00281E5E" w:rsidRPr="00056810" w:rsidRDefault="00281E5E" w:rsidP="007B1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5681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$762,804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CA3754B" w14:textId="77777777" w:rsidR="00281E5E" w:rsidRPr="00056810" w:rsidRDefault="00281E5E" w:rsidP="007B1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5681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$1,663,568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88A6" w14:textId="77777777" w:rsidR="00281E5E" w:rsidRPr="00056810" w:rsidRDefault="00281E5E" w:rsidP="007B1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5681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$2,938,385</w:t>
            </w:r>
          </w:p>
        </w:tc>
      </w:tr>
      <w:tr w:rsidR="00281E5E" w:rsidRPr="00056810" w14:paraId="4A310272" w14:textId="77777777" w:rsidTr="00B32583">
        <w:trPr>
          <w:trHeight w:val="395"/>
        </w:trPr>
        <w:tc>
          <w:tcPr>
            <w:tcW w:w="2694" w:type="dxa"/>
            <w:tcBorders>
              <w:top w:val="single" w:sz="8" w:space="0" w:color="D9D9D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14:paraId="2123FEAC" w14:textId="77777777" w:rsidR="00281E5E" w:rsidRPr="00056810" w:rsidRDefault="00281E5E" w:rsidP="007B1880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val="en-US"/>
              </w:rPr>
            </w:pPr>
            <w:r w:rsidRPr="00056810">
              <w:rPr>
                <w:rFonts w:eastAsia="Times New Roman" w:cs="Times New Roman"/>
                <w:color w:val="FFFFFF"/>
                <w:sz w:val="20"/>
                <w:szCs w:val="20"/>
                <w:lang w:val="en-US"/>
              </w:rPr>
              <w:t>Total, all respondents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CEDDA42" w14:textId="77777777" w:rsidR="00281E5E" w:rsidRPr="00056810" w:rsidRDefault="00281E5E" w:rsidP="007B1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5681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$171,630,879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BDB04A5" w14:textId="77777777" w:rsidR="00281E5E" w:rsidRPr="00056810" w:rsidRDefault="00281E5E" w:rsidP="007B1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5681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$342,695,033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12B9" w14:textId="77777777" w:rsidR="00281E5E" w:rsidRPr="00056810" w:rsidRDefault="00281E5E" w:rsidP="007B1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056810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$499,525,485</w:t>
            </w:r>
          </w:p>
        </w:tc>
      </w:tr>
    </w:tbl>
    <w:p w14:paraId="5537B4F1" w14:textId="77777777" w:rsidR="00281E5E" w:rsidRPr="00056810" w:rsidRDefault="00281E5E" w:rsidP="00281E5E">
      <w:pPr>
        <w:pStyle w:val="Default"/>
        <w:rPr>
          <w:rFonts w:ascii="Century Gothic" w:hAnsi="Century Gothic" w:cstheme="minorBidi"/>
          <w:color w:val="auto"/>
          <w:sz w:val="16"/>
          <w:szCs w:val="16"/>
          <w:lang w:val="en-CA"/>
        </w:rPr>
      </w:pPr>
      <w:r w:rsidRPr="00056810">
        <w:rPr>
          <w:rFonts w:ascii="Century Gothic" w:hAnsi="Century Gothic" w:cstheme="minorBidi"/>
          <w:color w:val="auto"/>
          <w:sz w:val="16"/>
          <w:szCs w:val="16"/>
          <w:lang w:val="en-CA"/>
        </w:rPr>
        <w:t>Source: Niagara Economic Rapid Response Team Survey, Custom Tabulation</w:t>
      </w:r>
    </w:p>
    <w:p w14:paraId="5525601C" w14:textId="77777777" w:rsidR="00281E5E" w:rsidRPr="00056810" w:rsidRDefault="00281E5E" w:rsidP="00281E5E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47E28098" w14:textId="70BDB796" w:rsidR="00D86B62" w:rsidRPr="00D77241" w:rsidRDefault="00281E5E" w:rsidP="003E4431">
      <w:pPr>
        <w:pStyle w:val="Default"/>
        <w:rPr>
          <w:rFonts w:ascii="Century Gothic" w:hAnsi="Century Gothic"/>
          <w:color w:val="FF0000"/>
          <w:sz w:val="22"/>
          <w:szCs w:val="22"/>
        </w:rPr>
      </w:pPr>
      <w:r w:rsidRPr="00056810">
        <w:rPr>
          <w:rFonts w:ascii="Century Gothic" w:hAnsi="Century Gothic"/>
          <w:color w:val="auto"/>
          <w:sz w:val="22"/>
          <w:szCs w:val="22"/>
        </w:rPr>
        <w:t xml:space="preserve">Tourism and tourism-adjacent businesses have had to </w:t>
      </w:r>
      <w:r w:rsidR="0085184A">
        <w:rPr>
          <w:rFonts w:ascii="Century Gothic" w:hAnsi="Century Gothic"/>
          <w:color w:val="auto"/>
          <w:sz w:val="22"/>
          <w:szCs w:val="22"/>
        </w:rPr>
        <w:t>adjust to</w:t>
      </w:r>
      <w:r w:rsidRPr="00056810">
        <w:rPr>
          <w:rFonts w:ascii="Century Gothic" w:hAnsi="Century Gothic"/>
          <w:color w:val="auto"/>
          <w:sz w:val="22"/>
          <w:szCs w:val="22"/>
        </w:rPr>
        <w:t xml:space="preserve"> restricted</w:t>
      </w:r>
      <w:r w:rsidR="0085184A">
        <w:rPr>
          <w:rFonts w:ascii="Century Gothic" w:hAnsi="Century Gothic"/>
          <w:color w:val="auto"/>
          <w:sz w:val="22"/>
          <w:szCs w:val="22"/>
        </w:rPr>
        <w:t xml:space="preserve"> in-person</w:t>
      </w:r>
      <w:r w:rsidRPr="00056810">
        <w:rPr>
          <w:rFonts w:ascii="Century Gothic" w:hAnsi="Century Gothic"/>
          <w:color w:val="auto"/>
          <w:sz w:val="22"/>
          <w:szCs w:val="22"/>
        </w:rPr>
        <w:t xml:space="preserve"> </w:t>
      </w:r>
      <w:r w:rsidR="0085184A">
        <w:rPr>
          <w:rFonts w:ascii="Century Gothic" w:hAnsi="Century Gothic"/>
          <w:color w:val="auto"/>
          <w:sz w:val="22"/>
          <w:szCs w:val="22"/>
        </w:rPr>
        <w:t xml:space="preserve">customer </w:t>
      </w:r>
      <w:r w:rsidRPr="00056810">
        <w:rPr>
          <w:rFonts w:ascii="Century Gothic" w:hAnsi="Century Gothic"/>
          <w:color w:val="auto"/>
          <w:sz w:val="22"/>
          <w:szCs w:val="22"/>
        </w:rPr>
        <w:t xml:space="preserve">conditions and lowered economic activity during what would typically be their high season. </w:t>
      </w:r>
      <w:r w:rsidR="00D86B62">
        <w:rPr>
          <w:rFonts w:ascii="Century Gothic" w:hAnsi="Century Gothic"/>
          <w:color w:val="auto"/>
          <w:sz w:val="22"/>
          <w:szCs w:val="22"/>
        </w:rPr>
        <w:t xml:space="preserve">As such, data from the NERRT </w:t>
      </w:r>
      <w:r w:rsidR="003C1B01">
        <w:rPr>
          <w:rFonts w:ascii="Century Gothic" w:hAnsi="Century Gothic"/>
          <w:color w:val="auto"/>
          <w:sz w:val="22"/>
          <w:szCs w:val="22"/>
        </w:rPr>
        <w:t xml:space="preserve">survey </w:t>
      </w:r>
      <w:r w:rsidR="00D86B62">
        <w:rPr>
          <w:rFonts w:ascii="Century Gothic" w:hAnsi="Century Gothic"/>
          <w:color w:val="auto"/>
          <w:sz w:val="22"/>
          <w:szCs w:val="22"/>
        </w:rPr>
        <w:t xml:space="preserve">further showed that </w:t>
      </w:r>
      <w:r w:rsidR="003C1B01">
        <w:rPr>
          <w:rFonts w:ascii="Century Gothic" w:hAnsi="Century Gothic"/>
          <w:i/>
          <w:color w:val="auto"/>
          <w:sz w:val="22"/>
          <w:szCs w:val="22"/>
        </w:rPr>
        <w:t xml:space="preserve">accommodation and food services </w:t>
      </w:r>
      <w:r w:rsidR="003C1B01">
        <w:rPr>
          <w:rFonts w:ascii="Century Gothic" w:hAnsi="Century Gothic"/>
          <w:color w:val="auto"/>
          <w:sz w:val="22"/>
          <w:szCs w:val="22"/>
        </w:rPr>
        <w:t xml:space="preserve">respondents were focused on the </w:t>
      </w:r>
      <w:r w:rsidR="003C1B01">
        <w:rPr>
          <w:rFonts w:ascii="Century Gothic" w:hAnsi="Century Gothic"/>
          <w:i/>
          <w:color w:val="auto"/>
          <w:sz w:val="22"/>
          <w:szCs w:val="22"/>
        </w:rPr>
        <w:t xml:space="preserve">slow return of customers </w:t>
      </w:r>
      <w:r w:rsidR="003C1B01">
        <w:rPr>
          <w:rFonts w:ascii="Century Gothic" w:hAnsi="Century Gothic"/>
          <w:color w:val="auto"/>
          <w:sz w:val="22"/>
          <w:szCs w:val="22"/>
        </w:rPr>
        <w:t>(54.0% of respondents</w:t>
      </w:r>
      <w:r w:rsidR="00D77241">
        <w:rPr>
          <w:rFonts w:ascii="Century Gothic" w:hAnsi="Century Gothic"/>
          <w:color w:val="auto"/>
          <w:sz w:val="22"/>
          <w:szCs w:val="22"/>
        </w:rPr>
        <w:t xml:space="preserve">), and </w:t>
      </w:r>
      <w:r w:rsidR="00D77241" w:rsidRPr="0089598F">
        <w:rPr>
          <w:rFonts w:ascii="Century Gothic" w:hAnsi="Century Gothic"/>
          <w:i/>
          <w:color w:val="auto"/>
          <w:sz w:val="22"/>
          <w:szCs w:val="22"/>
        </w:rPr>
        <w:t>cash flow and increased debt loads</w:t>
      </w:r>
      <w:r w:rsidR="00D77241">
        <w:rPr>
          <w:rFonts w:ascii="Century Gothic" w:hAnsi="Century Gothic"/>
          <w:color w:val="auto"/>
          <w:sz w:val="22"/>
          <w:szCs w:val="22"/>
        </w:rPr>
        <w:t xml:space="preserve"> (39.8%)</w:t>
      </w:r>
      <w:r w:rsidR="0085184A">
        <w:rPr>
          <w:rFonts w:ascii="Century Gothic" w:hAnsi="Century Gothic"/>
          <w:color w:val="auto"/>
          <w:sz w:val="22"/>
          <w:szCs w:val="22"/>
        </w:rPr>
        <w:t xml:space="preserve">. </w:t>
      </w:r>
      <w:r w:rsidR="00D77241">
        <w:rPr>
          <w:rFonts w:ascii="Century Gothic" w:hAnsi="Century Gothic"/>
          <w:color w:val="auto"/>
          <w:sz w:val="22"/>
          <w:szCs w:val="22"/>
        </w:rPr>
        <w:t xml:space="preserve">Similar trends were found from employers in retail with their main concerns also being </w:t>
      </w:r>
      <w:r w:rsidR="00D77241" w:rsidRPr="000A08AC">
        <w:rPr>
          <w:rFonts w:ascii="Century Gothic" w:hAnsi="Century Gothic"/>
          <w:i/>
          <w:color w:val="auto"/>
          <w:sz w:val="22"/>
          <w:szCs w:val="22"/>
        </w:rPr>
        <w:t>slow return of customers</w:t>
      </w:r>
      <w:r w:rsidR="00D77241">
        <w:rPr>
          <w:rFonts w:ascii="Century Gothic" w:hAnsi="Century Gothic"/>
          <w:color w:val="auto"/>
          <w:sz w:val="22"/>
          <w:szCs w:val="22"/>
        </w:rPr>
        <w:t xml:space="preserve"> (44.2%) and </w:t>
      </w:r>
      <w:r w:rsidR="00D77241" w:rsidRPr="000A08AC">
        <w:rPr>
          <w:rFonts w:ascii="Century Gothic" w:hAnsi="Century Gothic"/>
          <w:i/>
          <w:color w:val="auto"/>
          <w:sz w:val="22"/>
          <w:szCs w:val="22"/>
        </w:rPr>
        <w:t>cash flow/increased debt</w:t>
      </w:r>
      <w:r w:rsidR="00D77241">
        <w:rPr>
          <w:rFonts w:ascii="Century Gothic" w:hAnsi="Century Gothic"/>
          <w:color w:val="auto"/>
          <w:sz w:val="22"/>
          <w:szCs w:val="22"/>
        </w:rPr>
        <w:t xml:space="preserve"> (30.4%)</w:t>
      </w:r>
      <w:r w:rsidR="005C21D1">
        <w:rPr>
          <w:rFonts w:ascii="Century Gothic" w:hAnsi="Century Gothic"/>
          <w:color w:val="auto"/>
          <w:sz w:val="22"/>
          <w:szCs w:val="22"/>
        </w:rPr>
        <w:t xml:space="preserve"> again showing how these related sectors are experiencing similar difficulties in the wake of the pandemic.</w:t>
      </w:r>
    </w:p>
    <w:p w14:paraId="6BEC3AB8" w14:textId="77777777" w:rsidR="00D86B62" w:rsidRDefault="00D86B62" w:rsidP="003E4431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15E4F4DB" w14:textId="18C71505" w:rsidR="00073160" w:rsidRPr="00056810" w:rsidRDefault="003C1B01" w:rsidP="003E4431">
      <w:pPr>
        <w:pStyle w:val="Default"/>
        <w:rPr>
          <w:rFonts w:ascii="Century Gothic" w:hAnsi="Century Gothic"/>
        </w:rPr>
      </w:pPr>
      <w:r w:rsidRPr="71FE9B99">
        <w:rPr>
          <w:rFonts w:ascii="Century Gothic" w:hAnsi="Century Gothic"/>
          <w:color w:val="auto"/>
          <w:sz w:val="22"/>
          <w:szCs w:val="22"/>
        </w:rPr>
        <w:t>As a result of these economic challenges, w</w:t>
      </w:r>
      <w:r w:rsidR="00D86B62" w:rsidRPr="71FE9B99">
        <w:rPr>
          <w:rFonts w:ascii="Century Gothic" w:hAnsi="Century Gothic"/>
          <w:color w:val="auto"/>
          <w:sz w:val="22"/>
          <w:szCs w:val="22"/>
        </w:rPr>
        <w:t>e</w:t>
      </w:r>
      <w:r w:rsidR="00281E5E" w:rsidRPr="71FE9B99">
        <w:rPr>
          <w:rFonts w:ascii="Century Gothic" w:hAnsi="Century Gothic"/>
          <w:color w:val="auto"/>
          <w:sz w:val="22"/>
          <w:szCs w:val="22"/>
        </w:rPr>
        <w:t xml:space="preserve"> are beginning to hear anecdotal evidence that some of these businesses </w:t>
      </w:r>
      <w:r w:rsidR="00281E5E" w:rsidRPr="71FE9B99">
        <w:rPr>
          <w:rFonts w:ascii="Century Gothic" w:hAnsi="Century Gothic"/>
          <w:sz w:val="22"/>
          <w:szCs w:val="22"/>
        </w:rPr>
        <w:t>will be forced to close through the</w:t>
      </w:r>
      <w:r w:rsidRPr="71FE9B99">
        <w:rPr>
          <w:rFonts w:ascii="Century Gothic" w:hAnsi="Century Gothic"/>
          <w:sz w:val="22"/>
          <w:szCs w:val="22"/>
        </w:rPr>
        <w:t>ir traditional</w:t>
      </w:r>
      <w:r w:rsidR="00281E5E" w:rsidRPr="71FE9B99">
        <w:rPr>
          <w:rFonts w:ascii="Century Gothic" w:hAnsi="Century Gothic"/>
          <w:sz w:val="22"/>
          <w:szCs w:val="22"/>
        </w:rPr>
        <w:t xml:space="preserve"> “off-season” due to a lack of funds. </w:t>
      </w:r>
      <w:r w:rsidR="00872F8E" w:rsidRPr="71FE9B99">
        <w:rPr>
          <w:rFonts w:ascii="Century Gothic" w:hAnsi="Century Gothic"/>
          <w:sz w:val="22"/>
          <w:szCs w:val="22"/>
        </w:rPr>
        <w:t xml:space="preserve">Given the </w:t>
      </w:r>
      <w:r w:rsidR="00281E5E" w:rsidRPr="71FE9B99">
        <w:rPr>
          <w:rFonts w:ascii="Century Gothic" w:hAnsi="Century Gothic"/>
          <w:sz w:val="22"/>
          <w:szCs w:val="22"/>
        </w:rPr>
        <w:t>close link between tourism and retail</w:t>
      </w:r>
      <w:r w:rsidR="003E4431" w:rsidRPr="71FE9B99">
        <w:rPr>
          <w:rFonts w:ascii="Century Gothic" w:hAnsi="Century Gothic"/>
          <w:sz w:val="22"/>
          <w:szCs w:val="22"/>
        </w:rPr>
        <w:t xml:space="preserve"> trade</w:t>
      </w:r>
      <w:r w:rsidR="00281E5E" w:rsidRPr="71FE9B99">
        <w:rPr>
          <w:rFonts w:ascii="Century Gothic" w:hAnsi="Century Gothic"/>
          <w:sz w:val="22"/>
          <w:szCs w:val="22"/>
        </w:rPr>
        <w:t xml:space="preserve">, the spillover effect </w:t>
      </w:r>
      <w:r w:rsidR="5FFA571E" w:rsidRPr="71FE9B99">
        <w:rPr>
          <w:rFonts w:ascii="Century Gothic" w:hAnsi="Century Gothic"/>
          <w:sz w:val="22"/>
          <w:szCs w:val="22"/>
        </w:rPr>
        <w:t>in</w:t>
      </w:r>
      <w:r w:rsidR="00281E5E" w:rsidRPr="71FE9B99">
        <w:rPr>
          <w:rFonts w:ascii="Century Gothic" w:hAnsi="Century Gothic"/>
          <w:sz w:val="22"/>
          <w:szCs w:val="22"/>
        </w:rPr>
        <w:t xml:space="preserve">to Niagara's retail trade sector </w:t>
      </w:r>
      <w:r w:rsidR="00872F8E" w:rsidRPr="71FE9B99">
        <w:rPr>
          <w:rFonts w:ascii="Century Gothic" w:hAnsi="Century Gothic"/>
          <w:sz w:val="22"/>
          <w:szCs w:val="22"/>
        </w:rPr>
        <w:t>will be monitored moving forward</w:t>
      </w:r>
      <w:r w:rsidR="00281E5E" w:rsidRPr="71FE9B99">
        <w:rPr>
          <w:rFonts w:ascii="Century Gothic" w:hAnsi="Century Gothic"/>
          <w:sz w:val="22"/>
          <w:szCs w:val="22"/>
        </w:rPr>
        <w:t>. These data present difficult real</w:t>
      </w:r>
      <w:r w:rsidR="00D86B62" w:rsidRPr="71FE9B99">
        <w:rPr>
          <w:rFonts w:ascii="Century Gothic" w:hAnsi="Century Gothic"/>
          <w:sz w:val="22"/>
          <w:szCs w:val="22"/>
        </w:rPr>
        <w:t>i</w:t>
      </w:r>
      <w:r w:rsidR="00281E5E" w:rsidRPr="71FE9B99">
        <w:rPr>
          <w:rFonts w:ascii="Century Gothic" w:hAnsi="Century Gothic"/>
          <w:sz w:val="22"/>
          <w:szCs w:val="22"/>
        </w:rPr>
        <w:t>ties for employers</w:t>
      </w:r>
      <w:r w:rsidR="00DE500A" w:rsidRPr="71FE9B99">
        <w:rPr>
          <w:rFonts w:ascii="Century Gothic" w:hAnsi="Century Gothic"/>
          <w:sz w:val="22"/>
          <w:szCs w:val="22"/>
        </w:rPr>
        <w:t xml:space="preserve"> and employees</w:t>
      </w:r>
      <w:r w:rsidR="00281E5E" w:rsidRPr="71FE9B99">
        <w:rPr>
          <w:rFonts w:ascii="Century Gothic" w:hAnsi="Century Gothic"/>
          <w:sz w:val="22"/>
          <w:szCs w:val="22"/>
        </w:rPr>
        <w:t xml:space="preserve"> </w:t>
      </w:r>
      <w:r w:rsidR="006814DB" w:rsidRPr="71FE9B99">
        <w:rPr>
          <w:rFonts w:ascii="Century Gothic" w:hAnsi="Century Gothic"/>
          <w:sz w:val="22"/>
          <w:szCs w:val="22"/>
        </w:rPr>
        <w:t>working in</w:t>
      </w:r>
      <w:r w:rsidR="00281E5E" w:rsidRPr="71FE9B99">
        <w:rPr>
          <w:rFonts w:ascii="Century Gothic" w:hAnsi="Century Gothic"/>
          <w:sz w:val="22"/>
          <w:szCs w:val="22"/>
        </w:rPr>
        <w:t xml:space="preserve"> Niagara’s tourism and retail trade</w:t>
      </w:r>
      <w:r w:rsidR="00A91791" w:rsidRPr="71FE9B99">
        <w:rPr>
          <w:rFonts w:ascii="Century Gothic" w:hAnsi="Century Gothic"/>
          <w:sz w:val="22"/>
          <w:szCs w:val="22"/>
        </w:rPr>
        <w:t>-related</w:t>
      </w:r>
      <w:r w:rsidR="00281E5E" w:rsidRPr="71FE9B99">
        <w:rPr>
          <w:rFonts w:ascii="Century Gothic" w:hAnsi="Century Gothic"/>
          <w:sz w:val="22"/>
          <w:szCs w:val="22"/>
        </w:rPr>
        <w:t xml:space="preserve"> sectors.</w:t>
      </w:r>
    </w:p>
    <w:sectPr w:rsidR="00073160" w:rsidRPr="00056810" w:rsidSect="00E87DA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152A15" w16cex:dateUtc="2020-09-29T19:45:37.741Z"/>
  <w16cex:commentExtensible w16cex:durableId="00820FE2" w16cex:dateUtc="2020-09-29T19:47:53.278Z"/>
  <w16cex:commentExtensible w16cex:durableId="5905270D" w16cex:dateUtc="2020-09-29T19:50:04.617Z"/>
  <w16cex:commentExtensible w16cex:durableId="4803A576" w16cex:dateUtc="2020-09-29T19:52:31.649Z"/>
  <w16cex:commentExtensible w16cex:durableId="453B6CBF" w16cex:dateUtc="2020-09-29T19:58:03.003Z"/>
  <w16cex:commentExtensible w16cex:durableId="50EC39BB" w16cex:dateUtc="2020-09-29T19:59:32.62Z"/>
  <w16cex:commentExtensible w16cex:durableId="77BBF92A" w16cex:dateUtc="2020-09-29T20:03:38.969Z"/>
  <w16cex:commentExtensible w16cex:durableId="549D5163" w16cex:dateUtc="2020-09-29T20:04:04.357Z"/>
  <w16cex:commentExtensible w16cex:durableId="0F7FF631" w16cex:dateUtc="2020-09-29T20:12:05.668Z"/>
  <w16cex:commentExtensible w16cex:durableId="1B3BF05A" w16cex:dateUtc="2020-09-29T20:12:18.478Z"/>
  <w16cex:commentExtensible w16cex:durableId="20481822" w16cex:dateUtc="2020-09-29T20:12:29.209Z"/>
  <w16cex:commentExtensible w16cex:durableId="4C22402D" w16cex:dateUtc="2020-09-30T16:09:18.374Z"/>
  <w16cex:commentExtensible w16cex:durableId="1AF45965" w16cex:dateUtc="2020-09-30T16:10:08.616Z"/>
  <w16cex:commentExtensible w16cex:durableId="5F5561A8" w16cex:dateUtc="2020-09-30T16:10:35.908Z"/>
  <w16cex:commentExtensible w16cex:durableId="48860447" w16cex:dateUtc="2020-10-02T14:11:44.274Z"/>
  <w16cex:commentExtensible w16cex:durableId="22478FD9" w16cex:dateUtc="2020-10-02T14:13:30.193Z"/>
  <w16cex:commentExtensible w16cex:durableId="6B0F58E5" w16cex:dateUtc="2020-10-02T14:52:39.6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C823C5" w16cid:durableId="7924F80E"/>
  <w16cid:commentId w16cid:paraId="05308043" w16cid:durableId="6D152A15"/>
  <w16cid:commentId w16cid:paraId="64E21F8E" w16cid:durableId="00820FE2"/>
  <w16cid:commentId w16cid:paraId="1847F3E3" w16cid:durableId="5905270D"/>
  <w16cid:commentId w16cid:paraId="36947B1D" w16cid:durableId="4803A576"/>
  <w16cid:commentId w16cid:paraId="55036424" w16cid:durableId="453B6CBF"/>
  <w16cid:commentId w16cid:paraId="1DF931E0" w16cid:durableId="50EC39BB"/>
  <w16cid:commentId w16cid:paraId="3C95033C" w16cid:durableId="77BBF92A"/>
  <w16cid:commentId w16cid:paraId="2E62A4BC" w16cid:durableId="549D5163"/>
  <w16cid:commentId w16cid:paraId="6D9E88BB" w16cid:durableId="0F7FF631"/>
  <w16cid:commentId w16cid:paraId="5886D010" w16cid:durableId="1B3BF05A"/>
  <w16cid:commentId w16cid:paraId="70B3B12E" w16cid:durableId="20481822"/>
  <w16cid:commentId w16cid:paraId="09A12BD2" w16cid:durableId="4C22402D"/>
  <w16cid:commentId w16cid:paraId="1465540A" w16cid:durableId="1AF45965"/>
  <w16cid:commentId w16cid:paraId="0E33B33A" w16cid:durableId="5F5561A8"/>
  <w16cid:commentId w16cid:paraId="1736D94C" w16cid:durableId="52D1DC15"/>
  <w16cid:commentId w16cid:paraId="3A1787D3" w16cid:durableId="48860447"/>
  <w16cid:commentId w16cid:paraId="6F54DDFC" w16cid:durableId="22478FD9"/>
  <w16cid:commentId w16cid:paraId="02523E4B" w16cid:durableId="6B0F58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0C4A9" w14:textId="77777777" w:rsidR="00782279" w:rsidRDefault="00782279" w:rsidP="00281E5E">
      <w:pPr>
        <w:spacing w:after="0" w:line="240" w:lineRule="auto"/>
      </w:pPr>
      <w:r>
        <w:separator/>
      </w:r>
    </w:p>
  </w:endnote>
  <w:endnote w:type="continuationSeparator" w:id="0">
    <w:p w14:paraId="5A7760B4" w14:textId="77777777" w:rsidR="00782279" w:rsidRDefault="00782279" w:rsidP="0028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E6A82" w14:textId="77777777" w:rsidR="00782279" w:rsidRDefault="00782279" w:rsidP="00281E5E">
      <w:pPr>
        <w:spacing w:after="0" w:line="240" w:lineRule="auto"/>
      </w:pPr>
      <w:r>
        <w:separator/>
      </w:r>
    </w:p>
  </w:footnote>
  <w:footnote w:type="continuationSeparator" w:id="0">
    <w:p w14:paraId="5D39AEB4" w14:textId="77777777" w:rsidR="00782279" w:rsidRDefault="00782279" w:rsidP="00281E5E">
      <w:pPr>
        <w:spacing w:after="0" w:line="240" w:lineRule="auto"/>
      </w:pPr>
      <w:r>
        <w:continuationSeparator/>
      </w:r>
    </w:p>
  </w:footnote>
  <w:footnote w:id="1">
    <w:p w14:paraId="50BEA76B" w14:textId="77777777" w:rsidR="00C52BB7" w:rsidRPr="0045748C" w:rsidRDefault="00C52BB7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B305F" w:rsidRPr="001B305F">
        <w:rPr>
          <w:sz w:val="16"/>
          <w:szCs w:val="16"/>
        </w:rPr>
        <w:t>Niagara Tourism Profile. 2018. Niagara Region.</w:t>
      </w:r>
      <w:r w:rsidR="001B305F">
        <w:t xml:space="preserve"> </w:t>
      </w:r>
      <w:r w:rsidRPr="0045748C">
        <w:rPr>
          <w:sz w:val="16"/>
          <w:szCs w:val="16"/>
        </w:rPr>
        <w:t>https://niagaracanadaadmin.com/investment/wp-content/uploads/sites/7/2019/03/Niagara-Tourism-Profile_FINAL.pdf</w:t>
      </w:r>
    </w:p>
  </w:footnote>
  <w:footnote w:id="2">
    <w:p w14:paraId="3D2999D9" w14:textId="77777777" w:rsidR="00E87DAA" w:rsidRPr="00E87DAA" w:rsidRDefault="00E87DA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en-US"/>
        </w:rPr>
        <w:t>Data regarding expenditure type were only available for visitors from within Canada.</w:t>
      </w:r>
    </w:p>
  </w:footnote>
  <w:footnote w:id="3">
    <w:p w14:paraId="7FFFFBD6" w14:textId="77777777" w:rsidR="00C52BB7" w:rsidRPr="0045748C" w:rsidRDefault="00C52BB7">
      <w:pPr>
        <w:pStyle w:val="FootnoteText"/>
        <w:rPr>
          <w:sz w:val="16"/>
          <w:szCs w:val="16"/>
          <w:lang w:val="en-US"/>
        </w:rPr>
      </w:pPr>
      <w:r w:rsidRPr="0045748C">
        <w:rPr>
          <w:rStyle w:val="FootnoteReference"/>
          <w:sz w:val="16"/>
          <w:szCs w:val="16"/>
        </w:rPr>
        <w:footnoteRef/>
      </w:r>
      <w:r w:rsidRPr="0045748C">
        <w:rPr>
          <w:sz w:val="16"/>
          <w:szCs w:val="16"/>
        </w:rPr>
        <w:t xml:space="preserve"> </w:t>
      </w:r>
      <w:r w:rsidR="001B305F">
        <w:rPr>
          <w:sz w:val="16"/>
          <w:szCs w:val="16"/>
        </w:rPr>
        <w:t>Ibid.</w:t>
      </w:r>
    </w:p>
  </w:footnote>
  <w:footnote w:id="4">
    <w:p w14:paraId="1A6D3110" w14:textId="77777777" w:rsidR="002328E6" w:rsidRPr="0045748C" w:rsidRDefault="002328E6">
      <w:pPr>
        <w:pStyle w:val="FootnoteText"/>
        <w:rPr>
          <w:sz w:val="16"/>
          <w:szCs w:val="16"/>
          <w:lang w:val="en-US"/>
        </w:rPr>
      </w:pPr>
      <w:r w:rsidRPr="0045748C">
        <w:rPr>
          <w:rStyle w:val="FootnoteReference"/>
          <w:sz w:val="16"/>
          <w:szCs w:val="16"/>
        </w:rPr>
        <w:footnoteRef/>
      </w:r>
      <w:r w:rsidRPr="0045748C">
        <w:rPr>
          <w:sz w:val="16"/>
          <w:szCs w:val="16"/>
        </w:rPr>
        <w:t xml:space="preserve"> </w:t>
      </w:r>
      <w:r w:rsidR="001B305F">
        <w:rPr>
          <w:sz w:val="16"/>
          <w:szCs w:val="16"/>
          <w:lang w:val="en-US"/>
        </w:rPr>
        <w:t xml:space="preserve">Town of Lincoln Tourism Strategy and Action Plan, 2020-2025. 2020. Office of the Chief Administrative Officer. </w:t>
      </w:r>
      <w:r w:rsidR="001B305F" w:rsidRPr="001B305F">
        <w:rPr>
          <w:sz w:val="16"/>
          <w:szCs w:val="16"/>
          <w:lang w:val="en-US"/>
        </w:rPr>
        <w:t>https://lincoln.civicweb.net/document/109217</w:t>
      </w:r>
    </w:p>
  </w:footnote>
  <w:footnote w:id="5">
    <w:p w14:paraId="69FFF113" w14:textId="77777777" w:rsidR="002328E6" w:rsidRPr="002328E6" w:rsidRDefault="002328E6">
      <w:pPr>
        <w:pStyle w:val="FootnoteText"/>
        <w:rPr>
          <w:lang w:val="en-US"/>
        </w:rPr>
      </w:pPr>
      <w:r w:rsidRPr="0045748C">
        <w:rPr>
          <w:rStyle w:val="FootnoteReference"/>
          <w:sz w:val="16"/>
          <w:szCs w:val="16"/>
        </w:rPr>
        <w:footnoteRef/>
      </w:r>
      <w:r w:rsidRPr="0045748C">
        <w:rPr>
          <w:sz w:val="16"/>
          <w:szCs w:val="16"/>
        </w:rPr>
        <w:t xml:space="preserve"> </w:t>
      </w:r>
      <w:r w:rsidRPr="0045748C">
        <w:rPr>
          <w:sz w:val="16"/>
          <w:szCs w:val="16"/>
          <w:lang w:val="en-US"/>
        </w:rPr>
        <w:t>Ibid.</w:t>
      </w:r>
      <w:r>
        <w:rPr>
          <w:lang w:val="en-US"/>
        </w:rPr>
        <w:t xml:space="preserve"> </w:t>
      </w:r>
    </w:p>
  </w:footnote>
  <w:footnote w:id="6">
    <w:p w14:paraId="639C1078" w14:textId="77777777" w:rsidR="009E3198" w:rsidRPr="004A671F" w:rsidRDefault="009E3198" w:rsidP="009E31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en-US"/>
        </w:rPr>
        <w:t xml:space="preserve">We stress that this number is an estimate of </w:t>
      </w:r>
      <w:r w:rsidRPr="004A671F">
        <w:rPr>
          <w:sz w:val="16"/>
          <w:szCs w:val="16"/>
          <w:lang w:val="en-US"/>
        </w:rPr>
        <w:t>tourism-related employment numbers</w:t>
      </w:r>
      <w:r>
        <w:rPr>
          <w:sz w:val="16"/>
          <w:szCs w:val="16"/>
          <w:lang w:val="en-US"/>
        </w:rPr>
        <w:t xml:space="preserve"> and job loss and should not be used as a definitive statement on the change in tourism-related employment during the pandemic. We are</w:t>
      </w:r>
      <w:r w:rsidRPr="004A671F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using two separate datasets to estimate these job loss figures and these numbers are </w:t>
      </w:r>
      <w:r w:rsidRPr="004A671F">
        <w:rPr>
          <w:i/>
          <w:sz w:val="16"/>
          <w:szCs w:val="16"/>
          <w:lang w:val="en-US"/>
        </w:rPr>
        <w:t>approximations</w:t>
      </w:r>
      <w:r>
        <w:rPr>
          <w:sz w:val="16"/>
          <w:szCs w:val="16"/>
          <w:lang w:val="en-US"/>
        </w:rPr>
        <w:t xml:space="preserve"> of job loss in this sector, rather than ironclad figure.</w:t>
      </w:r>
    </w:p>
  </w:footnote>
  <w:footnote w:id="7">
    <w:p w14:paraId="1AD063EF" w14:textId="77777777" w:rsidR="003E4431" w:rsidRPr="00297D60" w:rsidRDefault="003E4431" w:rsidP="003E4431">
      <w:pPr>
        <w:pStyle w:val="FootnoteText"/>
        <w:rPr>
          <w:sz w:val="16"/>
          <w:szCs w:val="16"/>
          <w:lang w:val="en-US"/>
        </w:rPr>
      </w:pPr>
      <w:r w:rsidRPr="00297D60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These </w:t>
      </w:r>
      <w:r w:rsidRPr="00CB2F73">
        <w:rPr>
          <w:sz w:val="16"/>
          <w:szCs w:val="16"/>
          <w:lang w:val="en-US"/>
        </w:rPr>
        <w:t>data are derived from the Niagara COVID-19 Business Impact Survey, delivered by the Niagara Economic Rapid Response Team. NWPB gratefully acknowledges the efforts of Niagara’s twelve municipalities and the Regional Municipality of Niagara in delivering this survey.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DB"/>
    <w:multiLevelType w:val="hybridMultilevel"/>
    <w:tmpl w:val="38EE77A6"/>
    <w:lvl w:ilvl="0" w:tplc="3DB49914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5E"/>
    <w:rsid w:val="00007881"/>
    <w:rsid w:val="0002573D"/>
    <w:rsid w:val="000268F7"/>
    <w:rsid w:val="00041784"/>
    <w:rsid w:val="00050286"/>
    <w:rsid w:val="00050A4F"/>
    <w:rsid w:val="00056810"/>
    <w:rsid w:val="00075CE5"/>
    <w:rsid w:val="00080C5B"/>
    <w:rsid w:val="000831C6"/>
    <w:rsid w:val="000A08AC"/>
    <w:rsid w:val="000A7C09"/>
    <w:rsid w:val="000C78CD"/>
    <w:rsid w:val="000D4B3A"/>
    <w:rsid w:val="000E2DE3"/>
    <w:rsid w:val="00102724"/>
    <w:rsid w:val="00107965"/>
    <w:rsid w:val="00110820"/>
    <w:rsid w:val="00114DA6"/>
    <w:rsid w:val="001209A1"/>
    <w:rsid w:val="00121843"/>
    <w:rsid w:val="00134383"/>
    <w:rsid w:val="00151574"/>
    <w:rsid w:val="00157525"/>
    <w:rsid w:val="001809E0"/>
    <w:rsid w:val="00182CC6"/>
    <w:rsid w:val="00186ABF"/>
    <w:rsid w:val="001920D4"/>
    <w:rsid w:val="001B305F"/>
    <w:rsid w:val="001C31F3"/>
    <w:rsid w:val="001C3683"/>
    <w:rsid w:val="001C53B1"/>
    <w:rsid w:val="001E6986"/>
    <w:rsid w:val="002004ED"/>
    <w:rsid w:val="00202011"/>
    <w:rsid w:val="00215698"/>
    <w:rsid w:val="00222E1A"/>
    <w:rsid w:val="002328E6"/>
    <w:rsid w:val="00264380"/>
    <w:rsid w:val="00281E5E"/>
    <w:rsid w:val="00283850"/>
    <w:rsid w:val="002A09FB"/>
    <w:rsid w:val="002A1EB9"/>
    <w:rsid w:val="002A5283"/>
    <w:rsid w:val="002B1323"/>
    <w:rsid w:val="002B7C5E"/>
    <w:rsid w:val="002E726C"/>
    <w:rsid w:val="003148BC"/>
    <w:rsid w:val="00315D16"/>
    <w:rsid w:val="003443FE"/>
    <w:rsid w:val="003658B5"/>
    <w:rsid w:val="003835EA"/>
    <w:rsid w:val="0039160D"/>
    <w:rsid w:val="0039174A"/>
    <w:rsid w:val="003B5552"/>
    <w:rsid w:val="003C1B01"/>
    <w:rsid w:val="003C55A4"/>
    <w:rsid w:val="003E21A4"/>
    <w:rsid w:val="003E4431"/>
    <w:rsid w:val="003E68A9"/>
    <w:rsid w:val="00414D35"/>
    <w:rsid w:val="0045695F"/>
    <w:rsid w:val="0045748C"/>
    <w:rsid w:val="00462771"/>
    <w:rsid w:val="00477DC4"/>
    <w:rsid w:val="004825C8"/>
    <w:rsid w:val="004A671F"/>
    <w:rsid w:val="004C6510"/>
    <w:rsid w:val="004D4BF5"/>
    <w:rsid w:val="004F6657"/>
    <w:rsid w:val="005062A6"/>
    <w:rsid w:val="00512052"/>
    <w:rsid w:val="00515ACB"/>
    <w:rsid w:val="00527CC5"/>
    <w:rsid w:val="00562103"/>
    <w:rsid w:val="00570830"/>
    <w:rsid w:val="005752C9"/>
    <w:rsid w:val="005860E7"/>
    <w:rsid w:val="005A1EB7"/>
    <w:rsid w:val="005C21D1"/>
    <w:rsid w:val="005E1123"/>
    <w:rsid w:val="005F0238"/>
    <w:rsid w:val="0063455B"/>
    <w:rsid w:val="00662CDB"/>
    <w:rsid w:val="006814DB"/>
    <w:rsid w:val="00697C30"/>
    <w:rsid w:val="006C0D8D"/>
    <w:rsid w:val="006C2039"/>
    <w:rsid w:val="006D50BE"/>
    <w:rsid w:val="00701CE5"/>
    <w:rsid w:val="00716F55"/>
    <w:rsid w:val="00746C49"/>
    <w:rsid w:val="00765FDA"/>
    <w:rsid w:val="00775860"/>
    <w:rsid w:val="00782279"/>
    <w:rsid w:val="007B3383"/>
    <w:rsid w:val="007B461A"/>
    <w:rsid w:val="007B6C44"/>
    <w:rsid w:val="007D50B3"/>
    <w:rsid w:val="007F7D79"/>
    <w:rsid w:val="0080030F"/>
    <w:rsid w:val="00802CBE"/>
    <w:rsid w:val="00817989"/>
    <w:rsid w:val="00833F61"/>
    <w:rsid w:val="0085184A"/>
    <w:rsid w:val="00864611"/>
    <w:rsid w:val="00872F8E"/>
    <w:rsid w:val="00873AAB"/>
    <w:rsid w:val="008811E6"/>
    <w:rsid w:val="00891F0D"/>
    <w:rsid w:val="0089598F"/>
    <w:rsid w:val="008A5626"/>
    <w:rsid w:val="008B02D0"/>
    <w:rsid w:val="008B189C"/>
    <w:rsid w:val="008B49BE"/>
    <w:rsid w:val="008C3F2F"/>
    <w:rsid w:val="008D0E4D"/>
    <w:rsid w:val="008D59A9"/>
    <w:rsid w:val="008F2A78"/>
    <w:rsid w:val="008F7028"/>
    <w:rsid w:val="00913A04"/>
    <w:rsid w:val="00946BBF"/>
    <w:rsid w:val="009861B9"/>
    <w:rsid w:val="009B2EBC"/>
    <w:rsid w:val="009C5243"/>
    <w:rsid w:val="009C61A8"/>
    <w:rsid w:val="009D3D7C"/>
    <w:rsid w:val="009E02FB"/>
    <w:rsid w:val="009E3198"/>
    <w:rsid w:val="00A3537D"/>
    <w:rsid w:val="00A405D7"/>
    <w:rsid w:val="00A45102"/>
    <w:rsid w:val="00A45D67"/>
    <w:rsid w:val="00A53BA3"/>
    <w:rsid w:val="00A7519A"/>
    <w:rsid w:val="00A81ECF"/>
    <w:rsid w:val="00A91791"/>
    <w:rsid w:val="00A93DC7"/>
    <w:rsid w:val="00AB5B3B"/>
    <w:rsid w:val="00AF1D8B"/>
    <w:rsid w:val="00B13A3B"/>
    <w:rsid w:val="00B24F96"/>
    <w:rsid w:val="00B3099D"/>
    <w:rsid w:val="00B32583"/>
    <w:rsid w:val="00B32D63"/>
    <w:rsid w:val="00B404EE"/>
    <w:rsid w:val="00B57FBA"/>
    <w:rsid w:val="00B63691"/>
    <w:rsid w:val="00B650E0"/>
    <w:rsid w:val="00B713DF"/>
    <w:rsid w:val="00B745D0"/>
    <w:rsid w:val="00BB5DBE"/>
    <w:rsid w:val="00BC3C65"/>
    <w:rsid w:val="00BD56D4"/>
    <w:rsid w:val="00BE1865"/>
    <w:rsid w:val="00BE43EB"/>
    <w:rsid w:val="00BF337D"/>
    <w:rsid w:val="00C305FA"/>
    <w:rsid w:val="00C52BB7"/>
    <w:rsid w:val="00C96140"/>
    <w:rsid w:val="00C96648"/>
    <w:rsid w:val="00CA7EFC"/>
    <w:rsid w:val="00CD5F6C"/>
    <w:rsid w:val="00CD7FA5"/>
    <w:rsid w:val="00D04ACF"/>
    <w:rsid w:val="00D4743A"/>
    <w:rsid w:val="00D66830"/>
    <w:rsid w:val="00D73720"/>
    <w:rsid w:val="00D764F4"/>
    <w:rsid w:val="00D77241"/>
    <w:rsid w:val="00D80E6B"/>
    <w:rsid w:val="00D86B62"/>
    <w:rsid w:val="00D87482"/>
    <w:rsid w:val="00D90DF7"/>
    <w:rsid w:val="00D93867"/>
    <w:rsid w:val="00DA41FB"/>
    <w:rsid w:val="00DE500A"/>
    <w:rsid w:val="00DE67DE"/>
    <w:rsid w:val="00E127FD"/>
    <w:rsid w:val="00E15952"/>
    <w:rsid w:val="00E32BBA"/>
    <w:rsid w:val="00E65FA7"/>
    <w:rsid w:val="00E85598"/>
    <w:rsid w:val="00E87DAA"/>
    <w:rsid w:val="00EB4B6E"/>
    <w:rsid w:val="00F14B33"/>
    <w:rsid w:val="00F15657"/>
    <w:rsid w:val="00F4333F"/>
    <w:rsid w:val="00F55B0A"/>
    <w:rsid w:val="00F57BA1"/>
    <w:rsid w:val="00F902EA"/>
    <w:rsid w:val="00FA5E71"/>
    <w:rsid w:val="00FC07C9"/>
    <w:rsid w:val="00FC4767"/>
    <w:rsid w:val="00FC61A5"/>
    <w:rsid w:val="00FD6318"/>
    <w:rsid w:val="00FF118A"/>
    <w:rsid w:val="00FF1EEC"/>
    <w:rsid w:val="00FF2B80"/>
    <w:rsid w:val="02DC9492"/>
    <w:rsid w:val="05279A5A"/>
    <w:rsid w:val="0573322A"/>
    <w:rsid w:val="06E70D57"/>
    <w:rsid w:val="08B88F83"/>
    <w:rsid w:val="0A01804C"/>
    <w:rsid w:val="0A58C7E1"/>
    <w:rsid w:val="0BA22E14"/>
    <w:rsid w:val="0C2B2FE8"/>
    <w:rsid w:val="0E0381D7"/>
    <w:rsid w:val="12595CDB"/>
    <w:rsid w:val="14843873"/>
    <w:rsid w:val="16F5F78C"/>
    <w:rsid w:val="1FBAF882"/>
    <w:rsid w:val="2110E074"/>
    <w:rsid w:val="2487549C"/>
    <w:rsid w:val="2624647A"/>
    <w:rsid w:val="26797310"/>
    <w:rsid w:val="27FE286A"/>
    <w:rsid w:val="2A0ED5E5"/>
    <w:rsid w:val="2D4EF20B"/>
    <w:rsid w:val="2F1F6A16"/>
    <w:rsid w:val="35641229"/>
    <w:rsid w:val="35901227"/>
    <w:rsid w:val="35BA67CC"/>
    <w:rsid w:val="3B1E09D4"/>
    <w:rsid w:val="3B415BB3"/>
    <w:rsid w:val="3BCFE37B"/>
    <w:rsid w:val="3DF90254"/>
    <w:rsid w:val="41892A86"/>
    <w:rsid w:val="45DBD145"/>
    <w:rsid w:val="46E8611B"/>
    <w:rsid w:val="46EEED0D"/>
    <w:rsid w:val="4724316C"/>
    <w:rsid w:val="4800926A"/>
    <w:rsid w:val="4AF4FBE4"/>
    <w:rsid w:val="5258B6EB"/>
    <w:rsid w:val="55AEE40D"/>
    <w:rsid w:val="59EA81EF"/>
    <w:rsid w:val="5B282854"/>
    <w:rsid w:val="5FFA571E"/>
    <w:rsid w:val="622578E5"/>
    <w:rsid w:val="6342D05D"/>
    <w:rsid w:val="65A5702E"/>
    <w:rsid w:val="661119AA"/>
    <w:rsid w:val="66EA8168"/>
    <w:rsid w:val="6AC346F9"/>
    <w:rsid w:val="6B470AFF"/>
    <w:rsid w:val="70AC3AC7"/>
    <w:rsid w:val="71DC5A38"/>
    <w:rsid w:val="71FE9B99"/>
    <w:rsid w:val="738A5480"/>
    <w:rsid w:val="75F01EB9"/>
    <w:rsid w:val="77E5B8E2"/>
    <w:rsid w:val="7BE1CE23"/>
    <w:rsid w:val="7C2E33B1"/>
    <w:rsid w:val="7E351133"/>
    <w:rsid w:val="7EB6353E"/>
    <w:rsid w:val="7F9FC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C2BE7"/>
  <w15:chartTrackingRefBased/>
  <w15:docId w15:val="{3C00AF17-B01E-4976-ABB4-FC561842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5E"/>
    <w:pPr>
      <w:spacing w:line="256" w:lineRule="auto"/>
    </w:pPr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E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81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E5E"/>
    <w:rPr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281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1E5E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281E5E"/>
    <w:rPr>
      <w:vertAlign w:val="superscript"/>
    </w:rPr>
  </w:style>
  <w:style w:type="paragraph" w:customStyle="1" w:styleId="Default">
    <w:name w:val="Default"/>
    <w:rsid w:val="00281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5E"/>
    <w:rPr>
      <w:rFonts w:ascii="Segoe UI" w:hAnsi="Segoe UI" w:cs="Segoe UI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CE5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515AC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74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Revision">
    <w:name w:val="Revision"/>
    <w:hidden/>
    <w:uiPriority w:val="99"/>
    <w:semiHidden/>
    <w:rsid w:val="006C0D8D"/>
    <w:pPr>
      <w:spacing w:after="0" w:line="240" w:lineRule="auto"/>
    </w:pPr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cb51dd36511d412b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f52ca53d3f7042c9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CBD638C5D08488C3A69F20F38F032" ma:contentTypeVersion="4" ma:contentTypeDescription="Create a new document." ma:contentTypeScope="" ma:versionID="79962fb92896ca6a470a47a77a2477ef">
  <xsd:schema xmlns:xsd="http://www.w3.org/2001/XMLSchema" xmlns:xs="http://www.w3.org/2001/XMLSchema" xmlns:p="http://schemas.microsoft.com/office/2006/metadata/properties" xmlns:ns2="6ef78ea4-0b3a-4546-a13f-07d5c654a319" targetNamespace="http://schemas.microsoft.com/office/2006/metadata/properties" ma:root="true" ma:fieldsID="51117ddec1749c14edea7e674427b554" ns2:_="">
    <xsd:import namespace="6ef78ea4-0b3a-4546-a13f-07d5c654a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78ea4-0b3a-4546-a13f-07d5c654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EBD4-54DD-4397-BD9F-30553AAB0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69AC4-BCE5-4681-B4BF-D3BAC5927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78ea4-0b3a-4546-a13f-07d5c654a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B5689-8AD5-4C3F-9DDA-7A9F591EF50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ef78ea4-0b3a-4546-a13f-07d5c654a31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211A95-05FE-4E4F-A224-534586B9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McPhillips</dc:creator>
  <cp:keywords/>
  <dc:description/>
  <cp:lastModifiedBy>Thalia Semplonius</cp:lastModifiedBy>
  <cp:revision>48</cp:revision>
  <dcterms:created xsi:type="dcterms:W3CDTF">2020-10-05T20:10:00Z</dcterms:created>
  <dcterms:modified xsi:type="dcterms:W3CDTF">2020-12-08T16:22:00Z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0x01010022BCBD638C5D08488C3A69F20F38F032</vt:lpwstr>
  </property>
</Properties>
</file>